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5A45DC" w14:textId="77777777" w:rsidR="008F24B4" w:rsidRDefault="008F24B4" w:rsidP="008F2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firstLine="284"/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9620D" wp14:editId="4A937BEA">
                <wp:simplePos x="0" y="0"/>
                <wp:positionH relativeFrom="column">
                  <wp:posOffset>1536700</wp:posOffset>
                </wp:positionH>
                <wp:positionV relativeFrom="paragraph">
                  <wp:posOffset>440055</wp:posOffset>
                </wp:positionV>
                <wp:extent cx="3314700" cy="688340"/>
                <wp:effectExtent l="0" t="0" r="3810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41E7" w14:textId="77777777" w:rsidR="008F24B4" w:rsidRPr="000A7AC4" w:rsidRDefault="008F24B4" w:rsidP="008F24B4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0A7AC4">
                              <w:rPr>
                                <w:rFonts w:ascii="Chalkboard" w:hAnsi="Chalkboard"/>
                                <w:sz w:val="32"/>
                              </w:rPr>
                              <w:t>KOONAWARRA PUBLIC SCHOOL PRESCHOOL</w:t>
                            </w:r>
                          </w:p>
                          <w:p w14:paraId="659B07A4" w14:textId="77777777" w:rsidR="008F24B4" w:rsidRPr="000A7AC4" w:rsidRDefault="008F24B4" w:rsidP="008F24B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96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pt;margin-top:34.65pt;width:261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9fKgIAAFA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">
                <v:textbox>
                  <w:txbxContent>
                    <w:p w14:paraId="1C8641E7" w14:textId="77777777" w:rsidR="008F24B4" w:rsidRPr="000A7AC4" w:rsidRDefault="008F24B4" w:rsidP="008F24B4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0A7AC4">
                        <w:rPr>
                          <w:rFonts w:ascii="Chalkboard" w:hAnsi="Chalkboard"/>
                          <w:sz w:val="32"/>
                        </w:rPr>
                        <w:t>KOONAWARRA PUBLIC SCHOOL PRESCHOOL</w:t>
                      </w:r>
                    </w:p>
                    <w:p w14:paraId="659B07A4" w14:textId="77777777" w:rsidR="008F24B4" w:rsidRPr="000A7AC4" w:rsidRDefault="008F24B4" w:rsidP="008F24B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C62">
        <w:rPr>
          <w:b/>
          <w:sz w:val="28"/>
          <w:szCs w:val="28"/>
        </w:rPr>
        <w:t xml:space="preserve"> </w: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387A2968" wp14:editId="41934988">
            <wp:extent cx="1308100" cy="1384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4A78BC93" wp14:editId="14E728E6">
            <wp:extent cx="1485900" cy="14732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FC3C" w14:textId="12133018" w:rsidR="00DD7F40" w:rsidRDefault="008F24B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2F44955" wp14:editId="60804399">
                <wp:simplePos x="0" y="0"/>
                <wp:positionH relativeFrom="margin">
                  <wp:posOffset>852170</wp:posOffset>
                </wp:positionH>
                <wp:positionV relativeFrom="paragraph">
                  <wp:posOffset>118745</wp:posOffset>
                </wp:positionV>
                <wp:extent cx="5162550" cy="790575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D2A0EE" w14:textId="77777777" w:rsidR="00DD7F40" w:rsidRDefault="000F6C62" w:rsidP="008F24B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36"/>
                              </w:rPr>
                              <w:t>(m) The acceptance and refusal</w:t>
                            </w:r>
                          </w:p>
                          <w:p w14:paraId="3D74A247" w14:textId="77777777" w:rsidR="00DD7F40" w:rsidRDefault="000F6C62" w:rsidP="008F24B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36"/>
                              </w:rPr>
                              <w:t>of authorisations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4955" id="Rectangle 4" o:spid="_x0000_s1027" style="position:absolute;margin-left:67.1pt;margin-top:9.35pt;width:40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" o:allowincell="f" stroked="f">
                <v:textbox inset="2.53958mm,1.2694mm,2.53958mm,1.2694mm">
                  <w:txbxContent>
                    <w:p w14:paraId="3AD2A0EE" w14:textId="77777777" w:rsidR="00DD7F40" w:rsidRDefault="000F6C62" w:rsidP="008F24B4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36"/>
                        </w:rPr>
                        <w:t>(m) The acceptance and refusal</w:t>
                      </w:r>
                    </w:p>
                    <w:p w14:paraId="3D74A247" w14:textId="77777777" w:rsidR="00DD7F40" w:rsidRDefault="000F6C62" w:rsidP="008F24B4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36"/>
                        </w:rPr>
                        <w:t>of authorisations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C62">
        <w:t xml:space="preserve"> </w:t>
      </w:r>
    </w:p>
    <w:p w14:paraId="1377788B" w14:textId="77777777" w:rsidR="00DD7F40" w:rsidRDefault="000F6C6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5B53D6E9" wp14:editId="3A6893B8">
                <wp:simplePos x="0" y="0"/>
                <wp:positionH relativeFrom="margin">
                  <wp:posOffset>7505700</wp:posOffset>
                </wp:positionH>
                <wp:positionV relativeFrom="paragraph">
                  <wp:posOffset>-444499</wp:posOffset>
                </wp:positionV>
                <wp:extent cx="2514600" cy="698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432337"/>
                          <a:ext cx="2514599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>
                          <a:solidFill>
                            <a:srgbClr val="FFCC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3B23A1" w14:textId="77777777" w:rsidR="00DD7F40" w:rsidRDefault="000F6C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Forbes Street Woolloomooloo 2013 </w:t>
                            </w:r>
                          </w:p>
                          <w:p w14:paraId="6FD2B598" w14:textId="77777777" w:rsidR="00DD7F40" w:rsidRDefault="000F6C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T: 9358 5335/6  </w:t>
                            </w:r>
                          </w:p>
                          <w:p w14:paraId="018D8DD2" w14:textId="77777777" w:rsidR="00DD7F40" w:rsidRDefault="000F6C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F: 93571831  </w:t>
                            </w:r>
                          </w:p>
                          <w:p w14:paraId="2E865FAC" w14:textId="77777777" w:rsidR="00DD7F40" w:rsidRDefault="000F6C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>E: plunketstr-p.school@det.nsw.edu.au</w:t>
                            </w:r>
                          </w:p>
                          <w:p w14:paraId="74110DAB" w14:textId="77777777" w:rsidR="00DD7F40" w:rsidRDefault="00DD7F40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B53D6E9" id="Rectangle 5" o:spid="_x0000_s1028" style="position:absolute;margin-left:591pt;margin-top:-35pt;width:198pt;height: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" o:allowincell="f" fillcolor="#f90" strokecolor="#fc0">
                <v:textbox inset="2.53958mm,1.2694mm,2.53958mm,1.2694mm">
                  <w:txbxContent>
                    <w:p w14:paraId="583B23A1" w14:textId="77777777" w:rsidR="00DD7F40" w:rsidRDefault="000F6C6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Forbes Street Woolloomooloo 2013 </w:t>
                      </w:r>
                    </w:p>
                    <w:p w14:paraId="6FD2B598" w14:textId="77777777" w:rsidR="00DD7F40" w:rsidRDefault="000F6C6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T: 9358 5335/6  </w:t>
                      </w:r>
                    </w:p>
                    <w:p w14:paraId="018D8DD2" w14:textId="77777777" w:rsidR="00DD7F40" w:rsidRDefault="000F6C6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F: 93571831  </w:t>
                      </w:r>
                    </w:p>
                    <w:p w14:paraId="2E865FAC" w14:textId="77777777" w:rsidR="00DD7F40" w:rsidRDefault="000F6C6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>E: plunketstr-p.school@det.nsw.edu.au</w:t>
                      </w:r>
                    </w:p>
                    <w:p w14:paraId="74110DAB" w14:textId="77777777" w:rsidR="00DD7F40" w:rsidRDefault="00DD7F40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5831F4" w14:textId="12E070E2" w:rsidR="00DD7F40" w:rsidRDefault="00DD7F40"/>
    <w:tbl>
      <w:tblPr>
        <w:tblW w:w="104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647"/>
      </w:tblGrid>
      <w:tr w:rsidR="007E57F0" w14:paraId="40CF2018" w14:textId="77777777" w:rsidTr="00700AB6">
        <w:tc>
          <w:tcPr>
            <w:tcW w:w="1843" w:type="dxa"/>
          </w:tcPr>
          <w:p w14:paraId="2C484003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8647" w:type="dxa"/>
          </w:tcPr>
          <w:p w14:paraId="6ACC75C6" w14:textId="21BDB265" w:rsidR="007E57F0" w:rsidRDefault="0063711B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July </w:t>
            </w:r>
            <w:r w:rsidR="007E57F0" w:rsidRPr="4FF8DA41"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7E57F0" w14:paraId="70E993DF" w14:textId="77777777" w:rsidTr="00700AB6">
        <w:tc>
          <w:tcPr>
            <w:tcW w:w="1843" w:type="dxa"/>
          </w:tcPr>
          <w:p w14:paraId="650F1999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Next Review</w:t>
            </w:r>
          </w:p>
        </w:tc>
        <w:tc>
          <w:tcPr>
            <w:tcW w:w="8647" w:type="dxa"/>
          </w:tcPr>
          <w:p w14:paraId="0F55FD78" w14:textId="54DF0377" w:rsidR="007E57F0" w:rsidRDefault="0063711B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7E57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57F0" w:rsidRPr="4FF8DA41"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7E57F0" w14:paraId="62B60C42" w14:textId="77777777" w:rsidTr="00700AB6">
        <w:tc>
          <w:tcPr>
            <w:tcW w:w="1843" w:type="dxa"/>
          </w:tcPr>
          <w:p w14:paraId="4BDAC374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Regulation(s)</w:t>
            </w:r>
          </w:p>
        </w:tc>
        <w:tc>
          <w:tcPr>
            <w:tcW w:w="8647" w:type="dxa"/>
          </w:tcPr>
          <w:p w14:paraId="22891348" w14:textId="77777777" w:rsidR="007E57F0" w:rsidRDefault="00C0439E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" w:anchor="/view/regulation/2011/653/chap4/part4.2/div4/reg.92">
              <w:r w:rsidR="007E57F0" w:rsidRPr="4FF8DA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92</w:t>
              </w:r>
            </w:hyperlink>
          </w:p>
          <w:p w14:paraId="7FB57856" w14:textId="77777777" w:rsidR="007E57F0" w:rsidRDefault="00C0439E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" w:anchor="/view/regulation/2011/653/chap4/part4.2/div4/reg.93">
              <w:r w:rsidR="007E57F0" w:rsidRPr="4FF8DA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93</w:t>
              </w:r>
            </w:hyperlink>
          </w:p>
          <w:p w14:paraId="6FD66A82" w14:textId="77777777" w:rsidR="007E57F0" w:rsidRDefault="00C0439E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" w:anchor="/view/regulation/2011/653/chap4/part4.2/div6/reg.99">
              <w:r w:rsidR="007E57F0" w:rsidRPr="4FF8DA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99</w:t>
              </w:r>
            </w:hyperlink>
          </w:p>
          <w:p w14:paraId="0FC0F364" w14:textId="77777777" w:rsidR="007E57F0" w:rsidRDefault="00C0439E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2" w:anchor="/view/regulation/2011/653/chap4/part4.2/div6/reg.101">
              <w:r w:rsidR="007E57F0" w:rsidRPr="4FF8DA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101</w:t>
              </w:r>
            </w:hyperlink>
            <w:r w:rsidR="007E57F0" w:rsidRPr="4FF8DA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460809" w14:textId="77777777" w:rsidR="007E57F0" w:rsidRDefault="00C0439E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3" w:anchor="/view/regulation/2011/653/chap4/part4.2/div6/reg.102">
              <w:r w:rsidR="007E57F0" w:rsidRPr="4FF8DA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102</w:t>
              </w:r>
            </w:hyperlink>
          </w:p>
          <w:p w14:paraId="31AF30C4" w14:textId="77777777" w:rsidR="007E57F0" w:rsidRDefault="00C0439E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4" w:anchor="/view/regulation/2011/653/chap4/part4.7/div1/subdiv1/reg.160">
              <w:r w:rsidR="007E57F0" w:rsidRPr="4FF8DA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160</w:t>
              </w:r>
            </w:hyperlink>
            <w:r w:rsidR="007E57F0" w:rsidRPr="4FF8DA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EE8D78" w14:textId="77777777" w:rsidR="007E57F0" w:rsidRDefault="00C0439E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5" w:anchor="/view/regulation/2011/653/chap4/part4.7/div2/reg.168">
              <w:r w:rsidR="007E57F0" w:rsidRPr="4FF8DA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168</w:t>
              </w:r>
            </w:hyperlink>
            <w:r w:rsidR="007E57F0" w:rsidRPr="4FF8DA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E57F0" w14:paraId="3D5D417B" w14:textId="77777777" w:rsidTr="00700AB6">
        <w:tc>
          <w:tcPr>
            <w:tcW w:w="1843" w:type="dxa"/>
          </w:tcPr>
          <w:p w14:paraId="7D012DBE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 Quality Standard(s)</w:t>
            </w:r>
          </w:p>
        </w:tc>
        <w:tc>
          <w:tcPr>
            <w:tcW w:w="8647" w:type="dxa"/>
          </w:tcPr>
          <w:p w14:paraId="3144D633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sz w:val="20"/>
                <w:szCs w:val="20"/>
              </w:rPr>
              <w:t>Standard 2.1</w:t>
            </w:r>
          </w:p>
          <w:p w14:paraId="38DA25E3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sz w:val="20"/>
                <w:szCs w:val="20"/>
              </w:rPr>
              <w:t xml:space="preserve">Standard 2.2 </w:t>
            </w:r>
          </w:p>
          <w:p w14:paraId="23EC5A9F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sz w:val="20"/>
                <w:szCs w:val="20"/>
              </w:rPr>
              <w:t>Standard 7.1</w:t>
            </w:r>
          </w:p>
        </w:tc>
      </w:tr>
      <w:tr w:rsidR="007E57F0" w14:paraId="4020DADE" w14:textId="77777777" w:rsidTr="00700AB6">
        <w:tc>
          <w:tcPr>
            <w:tcW w:w="1843" w:type="dxa"/>
          </w:tcPr>
          <w:p w14:paraId="3DA5DC9B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 DoE Policy and link</w:t>
            </w:r>
          </w:p>
        </w:tc>
        <w:tc>
          <w:tcPr>
            <w:tcW w:w="8647" w:type="dxa"/>
          </w:tcPr>
          <w:p w14:paraId="1F0D06BE" w14:textId="77777777" w:rsidR="007E57F0" w:rsidRDefault="00C0439E" w:rsidP="00700AB6">
            <w:pPr>
              <w:spacing w:after="0" w:line="240" w:lineRule="auto"/>
            </w:pPr>
            <w:hyperlink r:id="rId16">
              <w:r w:rsidR="007E57F0" w:rsidRPr="4FF8DA41">
                <w:rPr>
                  <w:rStyle w:val="Hyperlink"/>
                  <w:color w:val="2E74B5" w:themeColor="accent1" w:themeShade="BF"/>
                </w:rPr>
                <w:t>Public Schools NSW Preschool – Obtaining parents’ authorisation and consent procedures</w:t>
              </w:r>
            </w:hyperlink>
          </w:p>
          <w:p w14:paraId="51C87818" w14:textId="77777777" w:rsidR="007E57F0" w:rsidRDefault="007E57F0" w:rsidP="00700AB6">
            <w:pPr>
              <w:spacing w:after="0" w:line="240" w:lineRule="auto"/>
            </w:pPr>
          </w:p>
          <w:p w14:paraId="12B41F17" w14:textId="77777777" w:rsidR="007E57F0" w:rsidRPr="00744223" w:rsidRDefault="00C0439E" w:rsidP="00700AB6">
            <w:pPr>
              <w:spacing w:after="0" w:line="240" w:lineRule="auto"/>
            </w:pPr>
            <w:hyperlink r:id="rId17">
              <w:r w:rsidR="007E57F0" w:rsidRPr="4FF8DA41">
                <w:rPr>
                  <w:rStyle w:val="Hyperlink"/>
                  <w:color w:val="0070C0"/>
                </w:rPr>
                <w:t>Public Schools NSW: Enrolment of Students in NSW Government Schools: A Summary and Consolidation of Policy</w:t>
              </w:r>
            </w:hyperlink>
            <w:r w:rsidR="007E57F0" w:rsidRPr="4FF8DA41">
              <w:rPr>
                <w:color w:val="0070C0"/>
                <w:u w:val="single"/>
              </w:rPr>
              <w:t xml:space="preserve"> </w:t>
            </w:r>
          </w:p>
          <w:p w14:paraId="23197E30" w14:textId="77777777" w:rsidR="007E57F0" w:rsidRPr="00244933" w:rsidRDefault="007E57F0" w:rsidP="00700AB6">
            <w:pPr>
              <w:spacing w:after="0" w:line="240" w:lineRule="auto"/>
            </w:pPr>
          </w:p>
          <w:p w14:paraId="240AC032" w14:textId="77777777" w:rsidR="007E57F0" w:rsidRPr="00244933" w:rsidRDefault="00C0439E" w:rsidP="00700AB6">
            <w:pPr>
              <w:spacing w:after="0" w:line="240" w:lineRule="auto"/>
            </w:pPr>
            <w:hyperlink r:id="rId18">
              <w:r w:rsidR="007E57F0" w:rsidRPr="4FF8DA41">
                <w:rPr>
                  <w:rStyle w:val="Hyperlink"/>
                  <w:color w:val="2E74B5" w:themeColor="accent1" w:themeShade="BF"/>
                </w:rPr>
                <w:t>Public Schools NSW: Application to enrol in a NSW government preschoo</w:t>
              </w:r>
            </w:hyperlink>
            <w:r w:rsidR="007E57F0" w:rsidRPr="4FF8DA41">
              <w:rPr>
                <w:color w:val="2E74B5" w:themeColor="accent1" w:themeShade="BF"/>
              </w:rPr>
              <w:t>l</w:t>
            </w:r>
          </w:p>
          <w:p w14:paraId="4B7BFFF3" w14:textId="77777777" w:rsidR="007E57F0" w:rsidRPr="00244933" w:rsidRDefault="007E57F0" w:rsidP="00700AB6">
            <w:pPr>
              <w:spacing w:after="0" w:line="240" w:lineRule="auto"/>
            </w:pPr>
          </w:p>
          <w:p w14:paraId="6F16F98C" w14:textId="77777777" w:rsidR="007E57F0" w:rsidRPr="00244933" w:rsidRDefault="00C0439E" w:rsidP="00700AB6">
            <w:pPr>
              <w:spacing w:after="0" w:line="240" w:lineRule="auto"/>
            </w:pPr>
            <w:hyperlink r:id="rId19">
              <w:r w:rsidR="007E57F0" w:rsidRPr="4FF8DA41">
                <w:rPr>
                  <w:rStyle w:val="Hyperlink"/>
                  <w:color w:val="0070C0"/>
                </w:rPr>
                <w:t>Public Schools NSW: Enrolment in a Department Preschool procedures</w:t>
              </w:r>
            </w:hyperlink>
          </w:p>
          <w:p w14:paraId="5F705BC1" w14:textId="77777777" w:rsidR="007E57F0" w:rsidRPr="00244933" w:rsidRDefault="007E57F0" w:rsidP="00700AB6">
            <w:pPr>
              <w:spacing w:after="0" w:line="240" w:lineRule="auto"/>
            </w:pPr>
          </w:p>
          <w:p w14:paraId="747CEA87" w14:textId="0A94E16C" w:rsidR="007E57F0" w:rsidRPr="00244933" w:rsidRDefault="00C0439E" w:rsidP="00700AB6">
            <w:pPr>
              <w:spacing w:after="0" w:line="240" w:lineRule="auto"/>
            </w:pPr>
            <w:hyperlink r:id="rId20">
              <w:r w:rsidR="007E57F0" w:rsidRPr="4FF8DA41">
                <w:rPr>
                  <w:rStyle w:val="Hyperlink"/>
                  <w:color w:val="0563C1"/>
                </w:rPr>
                <w:t>Public Schools NSW:</w:t>
              </w:r>
              <w:r w:rsidR="0063711B">
                <w:rPr>
                  <w:rStyle w:val="Hyperlink"/>
                  <w:color w:val="0563C1"/>
                </w:rPr>
                <w:t xml:space="preserve"> </w:t>
              </w:r>
              <w:r w:rsidR="007E57F0" w:rsidRPr="4FF8DA41">
                <w:rPr>
                  <w:rStyle w:val="Hyperlink"/>
                  <w:color w:val="0563C1"/>
                </w:rPr>
                <w:t>E</w:t>
              </w:r>
              <w:r w:rsidR="007E57F0" w:rsidRPr="4FF8DA41">
                <w:rPr>
                  <w:rStyle w:val="Hyperlink"/>
                  <w:color w:val="0563C1"/>
                </w:rPr>
                <w:t>xcursions Policy</w:t>
              </w:r>
            </w:hyperlink>
          </w:p>
          <w:p w14:paraId="773E4110" w14:textId="77777777" w:rsidR="007E57F0" w:rsidRPr="00244933" w:rsidRDefault="00C0439E" w:rsidP="00700AB6">
            <w:pPr>
              <w:spacing w:after="0" w:line="240" w:lineRule="auto"/>
              <w:ind w:left="720"/>
            </w:pPr>
            <w:hyperlink r:id="rId21">
              <w:r w:rsidR="007E57F0" w:rsidRPr="4FF8DA41">
                <w:rPr>
                  <w:rStyle w:val="Hyperlink"/>
                  <w:color w:val="0563C1"/>
                </w:rPr>
                <w:t>Public Schools NSW: Excursions Policy Implementation Procedures</w:t>
              </w:r>
            </w:hyperlink>
          </w:p>
          <w:p w14:paraId="2A53051D" w14:textId="77777777" w:rsidR="007E57F0" w:rsidRPr="00244933" w:rsidRDefault="00C0439E" w:rsidP="00700AB6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  <w:hyperlink r:id="rId22">
              <w:r w:rsidR="007E57F0" w:rsidRPr="4FF8DA41">
                <w:rPr>
                  <w:rStyle w:val="Hyperlink"/>
                  <w:color w:val="0563C1"/>
                </w:rPr>
                <w:t>Public Schools NSW: Excursions overview and key steps</w:t>
              </w:r>
            </w:hyperlink>
            <w:r w:rsidR="007E57F0" w:rsidRPr="4FF8DA41">
              <w:rPr>
                <w:color w:val="0563C1"/>
                <w:u w:val="single"/>
              </w:rPr>
              <w:t xml:space="preserve"> </w:t>
            </w:r>
          </w:p>
          <w:p w14:paraId="4DF7FE94" w14:textId="77777777" w:rsidR="007E57F0" w:rsidRPr="00244933" w:rsidRDefault="007E57F0" w:rsidP="00700AB6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3DEE53D3" w14:textId="77777777" w:rsidR="007E57F0" w:rsidRPr="00244933" w:rsidRDefault="00C0439E" w:rsidP="00700AB6">
            <w:pPr>
              <w:spacing w:after="0" w:line="240" w:lineRule="auto"/>
              <w:rPr>
                <w:rFonts w:ascii="Arial" w:eastAsia="Arial" w:hAnsi="Arial" w:cs="Arial"/>
              </w:rPr>
            </w:pPr>
            <w:hyperlink r:id="rId23">
              <w:r w:rsidR="007E57F0" w:rsidRPr="4FF8DA41">
                <w:rPr>
                  <w:rStyle w:val="Hyperlink"/>
                  <w:color w:val="0000FF"/>
                </w:rPr>
                <w:t>Student Health in NSW Public Schools: A summary and consolidation of policy PD/2004/0034/V01</w:t>
              </w:r>
            </w:hyperlink>
            <w:r w:rsidR="007E57F0" w:rsidRPr="4FF8DA41">
              <w:rPr>
                <w:color w:val="0000FF"/>
                <w:u w:val="single"/>
              </w:rPr>
              <w:t xml:space="preserve"> </w:t>
            </w:r>
          </w:p>
          <w:p w14:paraId="7B129A3E" w14:textId="77777777" w:rsidR="007E57F0" w:rsidRPr="00244933" w:rsidRDefault="007E57F0" w:rsidP="00700AB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3B43F80" w14:textId="77777777" w:rsidR="007E57F0" w:rsidRPr="00244933" w:rsidRDefault="00C0439E" w:rsidP="00700AB6">
            <w:pPr>
              <w:spacing w:after="0" w:line="240" w:lineRule="auto"/>
            </w:pPr>
            <w:hyperlink r:id="rId24">
              <w:r w:rsidR="007E57F0" w:rsidRPr="4FF8DA41">
                <w:rPr>
                  <w:rStyle w:val="Hyperlink"/>
                  <w:color w:val="0563C1"/>
                </w:rPr>
                <w:t>Public Schools NSW: Administering prescribed medication at school</w:t>
              </w:r>
            </w:hyperlink>
          </w:p>
          <w:p w14:paraId="04F4D876" w14:textId="77777777" w:rsidR="007E57F0" w:rsidRPr="00244933" w:rsidRDefault="007E57F0" w:rsidP="00700AB6">
            <w:pPr>
              <w:spacing w:after="0" w:line="240" w:lineRule="auto"/>
              <w:ind w:left="720"/>
              <w:rPr>
                <w:color w:val="0563C1"/>
                <w:u w:val="single"/>
              </w:rPr>
            </w:pPr>
          </w:p>
        </w:tc>
      </w:tr>
      <w:tr w:rsidR="007E57F0" w14:paraId="1865DC21" w14:textId="77777777" w:rsidTr="00700AB6">
        <w:tc>
          <w:tcPr>
            <w:tcW w:w="1843" w:type="dxa"/>
          </w:tcPr>
          <w:p w14:paraId="477952BC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DoE Preschool Handbook January 2016</w:t>
            </w:r>
          </w:p>
        </w:tc>
        <w:tc>
          <w:tcPr>
            <w:tcW w:w="8647" w:type="dxa"/>
          </w:tcPr>
          <w:p w14:paraId="1467D935" w14:textId="77777777" w:rsidR="007E57F0" w:rsidRDefault="00C0439E" w:rsidP="00700AB6">
            <w:pPr>
              <w:spacing w:after="0" w:line="240" w:lineRule="auto"/>
            </w:pPr>
            <w:hyperlink r:id="rId25">
              <w:r w:rsidR="007E57F0" w:rsidRPr="4FF8DA41">
                <w:rPr>
                  <w:rStyle w:val="Hyperlink"/>
                  <w:color w:val="0563C1"/>
                </w:rPr>
                <w:t>Department of Education Preschool Handbook</w:t>
              </w:r>
            </w:hyperlink>
            <w:r w:rsidR="007E57F0" w:rsidRPr="4FF8DA41">
              <w:rPr>
                <w:color w:val="0563C1"/>
                <w:u w:val="single"/>
              </w:rPr>
              <w:t>:</w:t>
            </w:r>
          </w:p>
          <w:p w14:paraId="6F0470BC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sz w:val="20"/>
                <w:szCs w:val="20"/>
              </w:rPr>
              <w:t>Wellbeing, p.  39-40</w:t>
            </w:r>
          </w:p>
        </w:tc>
      </w:tr>
      <w:tr w:rsidR="007E57F0" w14:paraId="3CA93EC2" w14:textId="77777777" w:rsidTr="00700AB6">
        <w:tc>
          <w:tcPr>
            <w:tcW w:w="1843" w:type="dxa"/>
          </w:tcPr>
          <w:p w14:paraId="16BA8CF9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F8DA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 Resources</w:t>
            </w:r>
          </w:p>
        </w:tc>
        <w:tc>
          <w:tcPr>
            <w:tcW w:w="8647" w:type="dxa"/>
          </w:tcPr>
          <w:p w14:paraId="0DBEDBAA" w14:textId="77777777" w:rsidR="007E57F0" w:rsidRDefault="00C0439E" w:rsidP="00700AB6">
            <w:pPr>
              <w:spacing w:after="0" w:line="240" w:lineRule="auto"/>
            </w:pPr>
            <w:hyperlink r:id="rId26">
              <w:r w:rsidR="007E57F0" w:rsidRPr="4FF8DA41">
                <w:rPr>
                  <w:rStyle w:val="Hyperlink"/>
                  <w:color w:val="0563C1"/>
                </w:rPr>
                <w:t>ACECQA Medication Record</w:t>
              </w:r>
            </w:hyperlink>
          </w:p>
          <w:p w14:paraId="6DFDCCDD" w14:textId="77777777" w:rsidR="007E57F0" w:rsidRDefault="007E57F0" w:rsidP="00700A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574626" w14:textId="7A2AF48C" w:rsidR="007E57F0" w:rsidRDefault="007E57F0"/>
    <w:p w14:paraId="5CF48968" w14:textId="77777777" w:rsidR="007E57F0" w:rsidRDefault="007E57F0"/>
    <w:p w14:paraId="5044BFF7" w14:textId="77777777" w:rsidR="004E1AA0" w:rsidRDefault="004E1AA0" w:rsidP="007E57F0">
      <w:pPr>
        <w:spacing w:before="100" w:after="0" w:line="240" w:lineRule="auto"/>
        <w:contextualSpacing/>
        <w:rPr>
          <w:sz w:val="23"/>
          <w:szCs w:val="23"/>
        </w:rPr>
      </w:pPr>
    </w:p>
    <w:p w14:paraId="0C98A303" w14:textId="77777777" w:rsidR="0063711B" w:rsidRDefault="0063711B" w:rsidP="007E57F0">
      <w:pPr>
        <w:spacing w:before="100" w:after="0" w:line="240" w:lineRule="auto"/>
        <w:contextualSpacing/>
        <w:rPr>
          <w:sz w:val="23"/>
          <w:szCs w:val="23"/>
        </w:rPr>
      </w:pPr>
    </w:p>
    <w:p w14:paraId="56B25519" w14:textId="77777777" w:rsidR="0063711B" w:rsidRDefault="0063711B" w:rsidP="007E57F0">
      <w:pPr>
        <w:spacing w:before="100" w:after="0" w:line="240" w:lineRule="auto"/>
        <w:contextualSpacing/>
        <w:rPr>
          <w:sz w:val="23"/>
          <w:szCs w:val="23"/>
        </w:rPr>
      </w:pPr>
    </w:p>
    <w:p w14:paraId="7885479C" w14:textId="51309FEF" w:rsidR="00DD7F40" w:rsidRDefault="000F6C62">
      <w:pPr>
        <w:numPr>
          <w:ilvl w:val="0"/>
          <w:numId w:val="1"/>
        </w:numPr>
        <w:spacing w:before="100" w:after="0" w:line="240" w:lineRule="auto"/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Parents’ authorisations or refusal</w:t>
      </w:r>
      <w:r w:rsidR="004E1AA0">
        <w:rPr>
          <w:sz w:val="23"/>
          <w:szCs w:val="23"/>
        </w:rPr>
        <w:t>s</w:t>
      </w:r>
      <w:r>
        <w:rPr>
          <w:sz w:val="23"/>
          <w:szCs w:val="23"/>
        </w:rPr>
        <w:t xml:space="preserve"> will be collected as part of the enrolment process and stored with the child’s enrolmen</w:t>
      </w:r>
      <w:r w:rsidR="0063711B">
        <w:rPr>
          <w:sz w:val="23"/>
          <w:szCs w:val="23"/>
        </w:rPr>
        <w:t>t form</w:t>
      </w:r>
      <w:bookmarkStart w:id="0" w:name="_GoBack"/>
      <w:bookmarkEnd w:id="0"/>
      <w:r>
        <w:rPr>
          <w:sz w:val="23"/>
          <w:szCs w:val="23"/>
        </w:rPr>
        <w:t>.</w:t>
      </w:r>
    </w:p>
    <w:p w14:paraId="2C19268E" w14:textId="77777777" w:rsidR="00DD7F40" w:rsidRDefault="00DD7F40">
      <w:pPr>
        <w:spacing w:after="0" w:line="240" w:lineRule="auto"/>
        <w:ind w:left="720"/>
        <w:rPr>
          <w:sz w:val="23"/>
          <w:szCs w:val="23"/>
        </w:rPr>
      </w:pPr>
    </w:p>
    <w:p w14:paraId="5BE8EB3A" w14:textId="77777777" w:rsidR="00DD7F40" w:rsidRPr="008F24B4" w:rsidRDefault="004E1AA0" w:rsidP="008F24B4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A</w:t>
      </w:r>
      <w:r w:rsidR="000F6C62">
        <w:rPr>
          <w:sz w:val="23"/>
          <w:szCs w:val="23"/>
        </w:rPr>
        <w:t xml:space="preserve">uthorisations must be accepted or refused </w:t>
      </w:r>
      <w:r>
        <w:rPr>
          <w:sz w:val="23"/>
          <w:szCs w:val="23"/>
        </w:rPr>
        <w:t xml:space="preserve">in writing by the parent/carer. This is done on </w:t>
      </w:r>
      <w:r w:rsidR="000F6C62">
        <w:rPr>
          <w:sz w:val="23"/>
          <w:szCs w:val="23"/>
        </w:rPr>
        <w:t xml:space="preserve">pages 12 and 13 of the </w:t>
      </w:r>
      <w:r w:rsidR="000F6C62">
        <w:rPr>
          <w:i/>
          <w:sz w:val="23"/>
          <w:szCs w:val="23"/>
        </w:rPr>
        <w:t>Application to enrol in a NSW Government preschool</w:t>
      </w:r>
      <w:r w:rsidR="000F6C62">
        <w:rPr>
          <w:sz w:val="23"/>
          <w:szCs w:val="23"/>
        </w:rPr>
        <w:t xml:space="preserve"> form.</w:t>
      </w:r>
    </w:p>
    <w:p w14:paraId="11950184" w14:textId="77777777" w:rsidR="00DD7F40" w:rsidRDefault="00DD7F40" w:rsidP="008F24B4">
      <w:pPr>
        <w:spacing w:after="0" w:line="240" w:lineRule="auto"/>
        <w:rPr>
          <w:sz w:val="23"/>
          <w:szCs w:val="23"/>
        </w:rPr>
      </w:pPr>
    </w:p>
    <w:p w14:paraId="1C67D895" w14:textId="77777777" w:rsidR="00DD7F40" w:rsidRDefault="000F6C62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Parents who notify educators </w:t>
      </w:r>
      <w:r w:rsidR="004E1AA0">
        <w:rPr>
          <w:sz w:val="23"/>
          <w:szCs w:val="23"/>
        </w:rPr>
        <w:t xml:space="preserve">that </w:t>
      </w:r>
      <w:r>
        <w:rPr>
          <w:sz w:val="23"/>
          <w:szCs w:val="23"/>
        </w:rPr>
        <w:t>their child needs to be administered prescribed medication will be requested to complete the relevant form</w:t>
      </w:r>
      <w:r w:rsidR="004E1AA0">
        <w:rPr>
          <w:sz w:val="23"/>
          <w:szCs w:val="23"/>
        </w:rPr>
        <w:t>,</w:t>
      </w:r>
      <w:r>
        <w:rPr>
          <w:sz w:val="23"/>
          <w:szCs w:val="23"/>
        </w:rPr>
        <w:t xml:space="preserve"> authorising educators to administer the medication.  Educators will waive compliance where a child requires emergency medical treatment for conditions such as anaphylaxis or asthma. The service can administer medication without authorisation in these cases, provided they contact the parent/guardian as soon as practicable after the medication has been administered. </w:t>
      </w:r>
    </w:p>
    <w:p w14:paraId="56EC8560" w14:textId="77777777" w:rsidR="00DD7F40" w:rsidRDefault="00DD7F40">
      <w:pPr>
        <w:spacing w:after="0" w:line="240" w:lineRule="auto"/>
        <w:ind w:left="720"/>
        <w:rPr>
          <w:sz w:val="23"/>
          <w:szCs w:val="23"/>
        </w:rPr>
      </w:pPr>
    </w:p>
    <w:p w14:paraId="4AC58506" w14:textId="77777777" w:rsidR="00DD7F40" w:rsidRDefault="000F6C62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A child will not be allowed to attend an excursion without parental consent.</w:t>
      </w:r>
    </w:p>
    <w:p w14:paraId="168D0628" w14:textId="77777777" w:rsidR="00DD7F40" w:rsidRDefault="00DD7F40">
      <w:pPr>
        <w:spacing w:after="0" w:line="240" w:lineRule="auto"/>
        <w:ind w:left="720"/>
        <w:rPr>
          <w:sz w:val="23"/>
          <w:szCs w:val="23"/>
        </w:rPr>
      </w:pPr>
    </w:p>
    <w:p w14:paraId="3B31F13E" w14:textId="77777777" w:rsidR="00DD7F40" w:rsidRDefault="000F6C62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All documentation relating to authorisations must contain the child’s name, date and signature of the child’s parent/guardian, or nominated contact person as noted on the enrolment form.</w:t>
      </w:r>
    </w:p>
    <w:p w14:paraId="0600A0A8" w14:textId="77777777" w:rsidR="00DD7F40" w:rsidRDefault="00DD7F40">
      <w:pPr>
        <w:spacing w:after="0" w:line="240" w:lineRule="auto"/>
        <w:ind w:left="720"/>
        <w:rPr>
          <w:rFonts w:ascii="Candara" w:eastAsia="Candara" w:hAnsi="Candara" w:cs="Candara"/>
          <w:sz w:val="23"/>
          <w:szCs w:val="23"/>
        </w:rPr>
      </w:pPr>
    </w:p>
    <w:p w14:paraId="61200B4C" w14:textId="77777777" w:rsidR="00DD7F40" w:rsidRDefault="000F6C62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The school principal can exercise the right of refusal if written or verbal authorisations do not comply. </w:t>
      </w:r>
    </w:p>
    <w:p w14:paraId="255E3A47" w14:textId="77777777" w:rsidR="00DD7F40" w:rsidRDefault="00DD7F40" w:rsidP="008F24B4">
      <w:pPr>
        <w:spacing w:before="240"/>
        <w:rPr>
          <w:rFonts w:ascii="Arial" w:eastAsia="Arial" w:hAnsi="Arial" w:cs="Arial"/>
          <w:sz w:val="24"/>
          <w:szCs w:val="24"/>
        </w:rPr>
      </w:pPr>
    </w:p>
    <w:sectPr w:rsidR="00DD7F4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720" w:bottom="56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BC578" w14:textId="77777777" w:rsidR="00C0439E" w:rsidRDefault="00C0439E">
      <w:pPr>
        <w:spacing w:after="0" w:line="240" w:lineRule="auto"/>
      </w:pPr>
      <w:r>
        <w:separator/>
      </w:r>
    </w:p>
  </w:endnote>
  <w:endnote w:type="continuationSeparator" w:id="0">
    <w:p w14:paraId="21B48B5E" w14:textId="77777777" w:rsidR="00C0439E" w:rsidRDefault="00C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6BC2" w14:textId="77777777" w:rsidR="0063711B" w:rsidRDefault="00637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8C7A" w14:textId="77777777" w:rsidR="00DD7F40" w:rsidRDefault="000F6C62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NSW Department of Educati</w:t>
    </w:r>
    <w:r w:rsidR="008F24B4">
      <w:rPr>
        <w:sz w:val="20"/>
        <w:szCs w:val="20"/>
      </w:rPr>
      <w:t>on</w:t>
    </w:r>
  </w:p>
  <w:p w14:paraId="571D22A6" w14:textId="77777777" w:rsidR="00DD7F40" w:rsidRDefault="00DD7F40">
    <w:pPr>
      <w:tabs>
        <w:tab w:val="center" w:pos="4513"/>
        <w:tab w:val="right" w:pos="9026"/>
      </w:tabs>
      <w:spacing w:after="284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E7EC" w14:textId="77777777" w:rsidR="0063711B" w:rsidRDefault="0063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44E9" w14:textId="77777777" w:rsidR="00C0439E" w:rsidRDefault="00C0439E">
      <w:pPr>
        <w:spacing w:after="0" w:line="240" w:lineRule="auto"/>
      </w:pPr>
      <w:r>
        <w:separator/>
      </w:r>
    </w:p>
  </w:footnote>
  <w:footnote w:type="continuationSeparator" w:id="0">
    <w:p w14:paraId="79004952" w14:textId="77777777" w:rsidR="00C0439E" w:rsidRDefault="00C0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2C2C" w14:textId="77777777" w:rsidR="0063711B" w:rsidRDefault="0063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DAD7" w14:textId="77777777" w:rsidR="0063711B" w:rsidRDefault="00637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56D1" w14:textId="77777777" w:rsidR="0063711B" w:rsidRDefault="0063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04" w:hanging="285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2072" w:hanging="285"/>
      </w:pPr>
    </w:lvl>
    <w:lvl w:ilvl="2">
      <w:numFmt w:val="bullet"/>
      <w:lvlText w:val="•"/>
      <w:lvlJc w:val="left"/>
      <w:pPr>
        <w:ind w:left="3140" w:hanging="285"/>
      </w:pPr>
    </w:lvl>
    <w:lvl w:ilvl="3">
      <w:numFmt w:val="bullet"/>
      <w:lvlText w:val="•"/>
      <w:lvlJc w:val="left"/>
      <w:pPr>
        <w:ind w:left="4208" w:hanging="285"/>
      </w:pPr>
    </w:lvl>
    <w:lvl w:ilvl="4">
      <w:numFmt w:val="bullet"/>
      <w:lvlText w:val="•"/>
      <w:lvlJc w:val="left"/>
      <w:pPr>
        <w:ind w:left="5276" w:hanging="285"/>
      </w:pPr>
    </w:lvl>
    <w:lvl w:ilvl="5">
      <w:numFmt w:val="bullet"/>
      <w:lvlText w:val="•"/>
      <w:lvlJc w:val="left"/>
      <w:pPr>
        <w:ind w:left="6345" w:hanging="285"/>
      </w:pPr>
    </w:lvl>
    <w:lvl w:ilvl="6">
      <w:numFmt w:val="bullet"/>
      <w:lvlText w:val="•"/>
      <w:lvlJc w:val="left"/>
      <w:pPr>
        <w:ind w:left="7413" w:hanging="285"/>
      </w:pPr>
    </w:lvl>
    <w:lvl w:ilvl="7">
      <w:numFmt w:val="bullet"/>
      <w:lvlText w:val="•"/>
      <w:lvlJc w:val="left"/>
      <w:pPr>
        <w:ind w:left="8481" w:hanging="285"/>
      </w:pPr>
    </w:lvl>
    <w:lvl w:ilvl="8">
      <w:numFmt w:val="bullet"/>
      <w:lvlText w:val="•"/>
      <w:lvlJc w:val="left"/>
      <w:pPr>
        <w:ind w:left="9549" w:hanging="285"/>
      </w:pPr>
    </w:lvl>
  </w:abstractNum>
  <w:abstractNum w:abstractNumId="1" w15:restartNumberingAfterBreak="0">
    <w:nsid w:val="0A632DD2"/>
    <w:multiLevelType w:val="multilevel"/>
    <w:tmpl w:val="0AEA0B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8AB116C"/>
    <w:multiLevelType w:val="multilevel"/>
    <w:tmpl w:val="1EB44912"/>
    <w:lvl w:ilvl="0">
      <w:start w:val="1"/>
      <w:numFmt w:val="bullet"/>
      <w:lvlText w:val="●"/>
      <w:lvlJc w:val="left"/>
      <w:pPr>
        <w:ind w:left="1004" w:firstLine="719"/>
      </w:pPr>
      <w:rPr>
        <w:rFonts w:ascii="Arial" w:eastAsia="Arial" w:hAnsi="Arial" w:cs="Arial"/>
        <w:b w:val="0"/>
        <w:sz w:val="21"/>
        <w:szCs w:val="21"/>
      </w:rPr>
    </w:lvl>
    <w:lvl w:ilvl="1">
      <w:start w:val="1"/>
      <w:numFmt w:val="bullet"/>
      <w:lvlText w:val="•"/>
      <w:lvlJc w:val="left"/>
      <w:pPr>
        <w:ind w:left="2072" w:firstLine="1787"/>
      </w:pPr>
    </w:lvl>
    <w:lvl w:ilvl="2">
      <w:start w:val="1"/>
      <w:numFmt w:val="bullet"/>
      <w:lvlText w:val="•"/>
      <w:lvlJc w:val="left"/>
      <w:pPr>
        <w:ind w:left="3140" w:firstLine="2855"/>
      </w:pPr>
    </w:lvl>
    <w:lvl w:ilvl="3">
      <w:start w:val="1"/>
      <w:numFmt w:val="bullet"/>
      <w:lvlText w:val="•"/>
      <w:lvlJc w:val="left"/>
      <w:pPr>
        <w:ind w:left="4208" w:firstLine="3923"/>
      </w:pPr>
    </w:lvl>
    <w:lvl w:ilvl="4">
      <w:start w:val="1"/>
      <w:numFmt w:val="bullet"/>
      <w:lvlText w:val="•"/>
      <w:lvlJc w:val="left"/>
      <w:pPr>
        <w:ind w:left="5276" w:firstLine="4991"/>
      </w:pPr>
    </w:lvl>
    <w:lvl w:ilvl="5">
      <w:start w:val="1"/>
      <w:numFmt w:val="bullet"/>
      <w:lvlText w:val="•"/>
      <w:lvlJc w:val="left"/>
      <w:pPr>
        <w:ind w:left="6345" w:firstLine="6060"/>
      </w:pPr>
    </w:lvl>
    <w:lvl w:ilvl="6">
      <w:start w:val="1"/>
      <w:numFmt w:val="bullet"/>
      <w:lvlText w:val="•"/>
      <w:lvlJc w:val="left"/>
      <w:pPr>
        <w:ind w:left="7413" w:firstLine="7128"/>
      </w:pPr>
    </w:lvl>
    <w:lvl w:ilvl="7">
      <w:start w:val="1"/>
      <w:numFmt w:val="bullet"/>
      <w:lvlText w:val="•"/>
      <w:lvlJc w:val="left"/>
      <w:pPr>
        <w:ind w:left="8481" w:firstLine="8196"/>
      </w:pPr>
    </w:lvl>
    <w:lvl w:ilvl="8">
      <w:start w:val="1"/>
      <w:numFmt w:val="bullet"/>
      <w:lvlText w:val="•"/>
      <w:lvlJc w:val="left"/>
      <w:pPr>
        <w:ind w:left="9549" w:firstLine="926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F40"/>
    <w:rsid w:val="00030357"/>
    <w:rsid w:val="000F6C62"/>
    <w:rsid w:val="001051F3"/>
    <w:rsid w:val="002148E9"/>
    <w:rsid w:val="004E1AA0"/>
    <w:rsid w:val="0063711B"/>
    <w:rsid w:val="006F1578"/>
    <w:rsid w:val="00721B17"/>
    <w:rsid w:val="007E57F0"/>
    <w:rsid w:val="008F24B4"/>
    <w:rsid w:val="00BB52E1"/>
    <w:rsid w:val="00C0439E"/>
    <w:rsid w:val="00DD7F40"/>
    <w:rsid w:val="00F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CD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after="0" w:line="240" w:lineRule="auto"/>
      <w:ind w:left="957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030357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0357"/>
    <w:pPr>
      <w:widowControl w:val="0"/>
      <w:spacing w:after="0" w:line="240" w:lineRule="auto"/>
    </w:pPr>
    <w:rPr>
      <w:color w:val="auto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0357"/>
    <w:rPr>
      <w:color w:val="auto"/>
      <w:sz w:val="19"/>
      <w:szCs w:val="19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4"/>
  </w:style>
  <w:style w:type="paragraph" w:styleId="Footer">
    <w:name w:val="footer"/>
    <w:basedOn w:val="Normal"/>
    <w:link w:val="FooterChar"/>
    <w:uiPriority w:val="99"/>
    <w:unhideWhenUsed/>
    <w:rsid w:val="008F2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4"/>
  </w:style>
  <w:style w:type="character" w:styleId="Hyperlink">
    <w:name w:val="Hyperlink"/>
    <w:basedOn w:val="DefaultParagraphFont"/>
    <w:uiPriority w:val="99"/>
    <w:unhideWhenUsed/>
    <w:rsid w:val="007E57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nsw.gov.au/" TargetMode="External"/><Relationship Id="rId18" Type="http://schemas.openxmlformats.org/officeDocument/2006/relationships/hyperlink" Target="https://education.nsw.gov.au/public-schools/going-to-a-public-school/enrolment/preschool-enrolment" TargetMode="External"/><Relationship Id="rId26" Type="http://schemas.openxmlformats.org/officeDocument/2006/relationships/hyperlink" Target="https://www.acecqa.gov.au/resources/applications/sample-forms-and-templ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nsw.gov.au/policy-library/associated-documents/Proced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legislation.nsw.gov.au/" TargetMode="External"/><Relationship Id="rId17" Type="http://schemas.openxmlformats.org/officeDocument/2006/relationships/hyperlink" Target="https://education.nsw.gov.au/policy-library/policies/enrolment-of-students-in-nsw-government-schools-a-summary-and-consolidation-of-policy?refid=285839" TargetMode="External"/><Relationship Id="rId25" Type="http://schemas.openxmlformats.org/officeDocument/2006/relationships/hyperlink" Target="https://schoolsequella.det.nsw.edu.au/file/caddbee8-92ca-422b-a9df-cffdd34d5ccf/1/preschool-handbook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sequella.det.nsw.edu.au/file/e2661b06-8d94-45f5-bf91-749e6e5a71c4/1/preschool-obtaining-parent%27s-authorisation-and-consent.pdf" TargetMode="External"/><Relationship Id="rId20" Type="http://schemas.openxmlformats.org/officeDocument/2006/relationships/hyperlink" Target="https://education.nsw.gov.au/policy-library/policies/excursions-polic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nsw.gov.au/" TargetMode="External"/><Relationship Id="rId24" Type="http://schemas.openxmlformats.org/officeDocument/2006/relationships/hyperlink" Target="https://education.nsw.gov.au/wellbeing-and-learning/health-and-physical-care/health-care-procedures/administering-medication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slation.nsw.gov.au/" TargetMode="External"/><Relationship Id="rId23" Type="http://schemas.openxmlformats.org/officeDocument/2006/relationships/hyperlink" Target="https://education.nsw.gov.au/policy-library/policies/student-health-in-nsw-public-schools-a-summary-and-consolidation-of-policy?refid=285776%22%EF%BF%BDHYPERLINK%20%22https://detwww.det.nsw.edu.au/media/downloads/directoratesaz/legalservices/ls/legalissuesbul/bulletin46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legislation.nsw.gov.au/" TargetMode="External"/><Relationship Id="rId19" Type="http://schemas.openxmlformats.org/officeDocument/2006/relationships/hyperlink" Target="https://education.nsw.gov.au/policy-library/related-documents/preschool_memo.pd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hyperlink" Target="https://www.legislation.nsw.gov.au/" TargetMode="External"/><Relationship Id="rId22" Type="http://schemas.openxmlformats.org/officeDocument/2006/relationships/hyperlink" Target="https://education.nsw.gov.au/inside-the-department/health-and-safety/media/documents/risk-management/FACT010_EXCURSIONSOVERVIEW_v1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Victoria</dc:creator>
  <cp:lastModifiedBy>Carol Williams</cp:lastModifiedBy>
  <cp:revision>4</cp:revision>
  <cp:lastPrinted>2018-07-23T02:12:00Z</cp:lastPrinted>
  <dcterms:created xsi:type="dcterms:W3CDTF">2017-05-30T05:28:00Z</dcterms:created>
  <dcterms:modified xsi:type="dcterms:W3CDTF">2018-07-23T02:13:00Z</dcterms:modified>
</cp:coreProperties>
</file>