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EBAE49" w14:textId="77777777" w:rsidR="00C80343" w:rsidRDefault="00C80343" w:rsidP="00C80343">
      <w:pPr>
        <w:pBdr>
          <w:top w:val="single" w:sz="18" w:space="1" w:color="auto"/>
          <w:left w:val="single" w:sz="18" w:space="4" w:color="auto"/>
          <w:bottom w:val="single" w:sz="18" w:space="1" w:color="auto"/>
          <w:right w:val="single" w:sz="18" w:space="4" w:color="auto"/>
        </w:pBdr>
        <w:ind w:left="-284" w:firstLine="284"/>
      </w:pPr>
      <w:r>
        <w:rPr>
          <w:noProof/>
          <w:szCs w:val="20"/>
          <w:lang w:val="en-US" w:eastAsia="en-US"/>
        </w:rPr>
        <mc:AlternateContent>
          <mc:Choice Requires="wps">
            <w:drawing>
              <wp:anchor distT="0" distB="0" distL="114300" distR="114300" simplePos="0" relativeHeight="251662336" behindDoc="0" locked="0" layoutInCell="1" allowOverlap="1" wp14:anchorId="4895C667" wp14:editId="34E94844">
                <wp:simplePos x="0" y="0"/>
                <wp:positionH relativeFrom="column">
                  <wp:posOffset>1388110</wp:posOffset>
                </wp:positionH>
                <wp:positionV relativeFrom="paragraph">
                  <wp:posOffset>414020</wp:posOffset>
                </wp:positionV>
                <wp:extent cx="3314700" cy="688340"/>
                <wp:effectExtent l="0" t="0" r="3810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8340"/>
                        </a:xfrm>
                        <a:prstGeom prst="rect">
                          <a:avLst/>
                        </a:prstGeom>
                        <a:solidFill>
                          <a:srgbClr val="FFFFFF"/>
                        </a:solidFill>
                        <a:ln w="9525">
                          <a:solidFill>
                            <a:srgbClr val="000000"/>
                          </a:solidFill>
                          <a:miter lim="800000"/>
                          <a:headEnd/>
                          <a:tailEnd/>
                        </a:ln>
                      </wps:spPr>
                      <wps:txbx>
                        <w:txbxContent>
                          <w:p w14:paraId="5CBEAA7A" w14:textId="77777777" w:rsidR="00C80343" w:rsidRPr="000A7AC4" w:rsidRDefault="00C80343" w:rsidP="00C80343">
                            <w:pPr>
                              <w:jc w:val="center"/>
                              <w:rPr>
                                <w:rFonts w:ascii="Chalkboard" w:hAnsi="Chalkboard"/>
                                <w:sz w:val="32"/>
                              </w:rPr>
                            </w:pPr>
                            <w:r w:rsidRPr="000A7AC4">
                              <w:rPr>
                                <w:rFonts w:ascii="Chalkboard" w:hAnsi="Chalkboard"/>
                                <w:sz w:val="32"/>
                              </w:rPr>
                              <w:t>KOONAWARRA PUBLIC SCHOOL PRESCHOOL</w:t>
                            </w:r>
                          </w:p>
                          <w:p w14:paraId="199EF745" w14:textId="77777777" w:rsidR="00C80343" w:rsidRPr="000A7AC4" w:rsidRDefault="00C80343" w:rsidP="00C80343">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5C667" id="_x0000_t202" coordsize="21600,21600" o:spt="202" path="m,l,21600r21600,l21600,xe">
                <v:stroke joinstyle="miter"/>
                <v:path gradientshapeok="t" o:connecttype="rect"/>
              </v:shapetype>
              <v:shape id="Text Box 2" o:spid="_x0000_s1026" type="#_x0000_t202" style="position:absolute;left:0;text-align:left;margin-left:109.3pt;margin-top:32.6pt;width:261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">
                <v:textbox>
                  <w:txbxContent>
                    <w:p w14:paraId="5CBEAA7A" w14:textId="77777777" w:rsidR="00C80343" w:rsidRPr="000A7AC4" w:rsidRDefault="00C80343" w:rsidP="00C80343">
                      <w:pPr>
                        <w:jc w:val="center"/>
                        <w:rPr>
                          <w:rFonts w:ascii="Chalkboard" w:hAnsi="Chalkboard"/>
                          <w:sz w:val="32"/>
                        </w:rPr>
                      </w:pPr>
                      <w:r w:rsidRPr="000A7AC4">
                        <w:rPr>
                          <w:rFonts w:ascii="Chalkboard" w:hAnsi="Chalkboard"/>
                          <w:sz w:val="32"/>
                        </w:rPr>
                        <w:t>KOONAWARRA PUBLIC SCHOOL PRESCHOOL</w:t>
                      </w:r>
                    </w:p>
                    <w:p w14:paraId="199EF745" w14:textId="77777777" w:rsidR="00C80343" w:rsidRPr="000A7AC4" w:rsidRDefault="00C80343" w:rsidP="00C80343">
                      <w:pPr>
                        <w:rPr>
                          <w:sz w:val="36"/>
                        </w:rPr>
                      </w:pP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0" hidden="0" allowOverlap="1" wp14:anchorId="0B9FBB3E" wp14:editId="09DEEF7A">
                <wp:simplePos x="0" y="0"/>
                <wp:positionH relativeFrom="margin">
                  <wp:posOffset>247015</wp:posOffset>
                </wp:positionH>
                <wp:positionV relativeFrom="paragraph">
                  <wp:posOffset>1679575</wp:posOffset>
                </wp:positionV>
                <wp:extent cx="5514975" cy="802640"/>
                <wp:effectExtent l="0" t="0" r="0" b="10160"/>
                <wp:wrapNone/>
                <wp:docPr id="3" name="Rectangle 3"/>
                <wp:cNvGraphicFramePr/>
                <a:graphic xmlns:a="http://schemas.openxmlformats.org/drawingml/2006/main">
                  <a:graphicData uri="http://schemas.microsoft.com/office/word/2010/wordprocessingShape">
                    <wps:wsp>
                      <wps:cNvSpPr/>
                      <wps:spPr>
                        <a:xfrm>
                          <a:off x="0" y="0"/>
                          <a:ext cx="5514975" cy="802640"/>
                        </a:xfrm>
                        <a:prstGeom prst="rect">
                          <a:avLst/>
                        </a:prstGeom>
                        <a:solidFill>
                          <a:srgbClr val="FFFFFF"/>
                        </a:solidFill>
                        <a:ln>
                          <a:noFill/>
                        </a:ln>
                      </wps:spPr>
                      <wps:txbx>
                        <w:txbxContent>
                          <w:p w14:paraId="0E9961DE" w14:textId="77777777" w:rsidR="00F52380" w:rsidRDefault="00EE7655" w:rsidP="00C80343">
                            <w:pPr>
                              <w:spacing w:line="240" w:lineRule="auto"/>
                              <w:jc w:val="center"/>
                              <w:textDirection w:val="btLr"/>
                            </w:pPr>
                            <w:r>
                              <w:rPr>
                                <w:rFonts w:ascii="Arial" w:eastAsia="Arial" w:hAnsi="Arial" w:cs="Arial"/>
                                <w:b/>
                                <w:color w:val="548DD4"/>
                                <w:sz w:val="36"/>
                              </w:rPr>
                              <w:t>(n) Payment of fees and provision of</w:t>
                            </w:r>
                          </w:p>
                          <w:p w14:paraId="2D4C3128" w14:textId="77777777" w:rsidR="00F52380" w:rsidRDefault="00EE7655" w:rsidP="00C80343">
                            <w:pPr>
                              <w:spacing w:line="240" w:lineRule="auto"/>
                              <w:jc w:val="center"/>
                              <w:textDirection w:val="btLr"/>
                            </w:pPr>
                            <w:r>
                              <w:rPr>
                                <w:rFonts w:ascii="Arial" w:eastAsia="Arial" w:hAnsi="Arial" w:cs="Arial"/>
                                <w:b/>
                                <w:color w:val="548DD4"/>
                                <w:sz w:val="36"/>
                              </w:rPr>
                              <w:t>a statement of fees</w:t>
                            </w:r>
                          </w:p>
                          <w:p w14:paraId="5F068526" w14:textId="77777777" w:rsidR="00F52380" w:rsidRDefault="00F52380">
                            <w:pPr>
                              <w:spacing w:line="240"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9FBB3E" id="Rectangle 3" o:spid="_x0000_s1027" style="position:absolute;left:0;text-align:left;margin-left:19.45pt;margin-top:132.25pt;width:434.25pt;height:6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" o:allowincell="f" stroked="f">
                <v:textbox inset="2.53958mm,1.2694mm,2.53958mm,1.2694mm">
                  <w:txbxContent>
                    <w:p w14:paraId="0E9961DE" w14:textId="77777777" w:rsidR="00F52380" w:rsidRDefault="00EE7655" w:rsidP="00C80343">
                      <w:pPr>
                        <w:spacing w:line="240" w:lineRule="auto"/>
                        <w:jc w:val="center"/>
                        <w:textDirection w:val="btLr"/>
                      </w:pPr>
                      <w:r>
                        <w:rPr>
                          <w:rFonts w:ascii="Arial" w:eastAsia="Arial" w:hAnsi="Arial" w:cs="Arial"/>
                          <w:b/>
                          <w:color w:val="548DD4"/>
                          <w:sz w:val="36"/>
                        </w:rPr>
                        <w:t>(n) Payment of fees and provision of</w:t>
                      </w:r>
                    </w:p>
                    <w:p w14:paraId="2D4C3128" w14:textId="77777777" w:rsidR="00F52380" w:rsidRDefault="00EE7655" w:rsidP="00C80343">
                      <w:pPr>
                        <w:spacing w:line="240" w:lineRule="auto"/>
                        <w:jc w:val="center"/>
                        <w:textDirection w:val="btLr"/>
                      </w:pPr>
                      <w:r>
                        <w:rPr>
                          <w:rFonts w:ascii="Arial" w:eastAsia="Arial" w:hAnsi="Arial" w:cs="Arial"/>
                          <w:b/>
                          <w:color w:val="548DD4"/>
                          <w:sz w:val="36"/>
                        </w:rPr>
                        <w:t>a statement of fees</w:t>
                      </w:r>
                    </w:p>
                    <w:p w14:paraId="5F068526" w14:textId="77777777" w:rsidR="00F52380" w:rsidRDefault="00F52380">
                      <w:pPr>
                        <w:spacing w:line="240" w:lineRule="auto"/>
                        <w:textDirection w:val="btLr"/>
                      </w:pPr>
                    </w:p>
                  </w:txbxContent>
                </v:textbox>
                <w10:wrap anchorx="margin"/>
              </v:rect>
            </w:pict>
          </mc:Fallback>
        </mc:AlternateContent>
      </w:r>
      <w:r w:rsidR="00EE7655">
        <w:rPr>
          <w:b/>
          <w:sz w:val="28"/>
          <w:szCs w:val="28"/>
        </w:rPr>
        <w:t xml:space="preserve"> </w:t>
      </w:r>
      <w:r>
        <w:t xml:space="preserve"> </w:t>
      </w:r>
      <w:r>
        <w:rPr>
          <w:noProof/>
          <w:lang w:val="en-US" w:eastAsia="en-US"/>
        </w:rPr>
        <w:drawing>
          <wp:inline distT="0" distB="0" distL="0" distR="0" wp14:anchorId="02F3397A" wp14:editId="47F0B704">
            <wp:extent cx="1308100" cy="1384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t xml:space="preserve">                                                                                                    </w:t>
      </w:r>
      <w:r>
        <w:rPr>
          <w:noProof/>
          <w:lang w:val="en-US" w:eastAsia="en-US"/>
        </w:rPr>
        <w:drawing>
          <wp:inline distT="0" distB="0" distL="0" distR="0" wp14:anchorId="78A9E90C" wp14:editId="295E64FA">
            <wp:extent cx="1485900" cy="1473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0E89E5B0" w14:textId="77777777" w:rsidR="00F52380" w:rsidRDefault="00F52380"/>
    <w:p w14:paraId="5B3D4922" w14:textId="77777777" w:rsidR="00F52380" w:rsidRDefault="00EE7655">
      <w:r>
        <w:t xml:space="preserve"> </w:t>
      </w:r>
    </w:p>
    <w:p w14:paraId="48DBEB50" w14:textId="77777777" w:rsidR="00194E72" w:rsidRDefault="00194E72" w:rsidP="00085515"/>
    <w:tbl>
      <w:tblPr>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194E72" w14:paraId="12189302" w14:textId="77777777" w:rsidTr="00700AB6">
        <w:tc>
          <w:tcPr>
            <w:tcW w:w="1985" w:type="dxa"/>
          </w:tcPr>
          <w:p w14:paraId="37DF2BC9" w14:textId="77777777" w:rsidR="00194E72" w:rsidRDefault="00194E72" w:rsidP="00194E72">
            <w:pPr>
              <w:spacing w:after="0" w:line="240" w:lineRule="auto"/>
              <w:rPr>
                <w:rFonts w:ascii="Arial" w:eastAsia="Arial" w:hAnsi="Arial" w:cs="Arial"/>
                <w:b/>
                <w:sz w:val="20"/>
                <w:szCs w:val="20"/>
              </w:rPr>
            </w:pPr>
            <w:r>
              <w:rPr>
                <w:rFonts w:ascii="Arial" w:eastAsia="Arial" w:hAnsi="Arial" w:cs="Arial"/>
                <w:b/>
                <w:sz w:val="20"/>
                <w:szCs w:val="20"/>
              </w:rPr>
              <w:t>Current</w:t>
            </w:r>
          </w:p>
        </w:tc>
        <w:tc>
          <w:tcPr>
            <w:tcW w:w="7796" w:type="dxa"/>
          </w:tcPr>
          <w:p w14:paraId="079FA20D" w14:textId="5FB5AF22" w:rsidR="00194E72" w:rsidRDefault="00D913C8" w:rsidP="00194E72">
            <w:pPr>
              <w:spacing w:after="0" w:line="240" w:lineRule="auto"/>
              <w:rPr>
                <w:rFonts w:asciiTheme="minorHAnsi" w:eastAsiaTheme="minorEastAsia" w:hAnsiTheme="minorHAnsi" w:cstheme="minorBidi"/>
              </w:rPr>
            </w:pPr>
            <w:r>
              <w:rPr>
                <w:rFonts w:asciiTheme="minorHAnsi" w:eastAsiaTheme="minorEastAsia" w:hAnsiTheme="minorHAnsi" w:cstheme="minorBidi"/>
              </w:rPr>
              <w:t>July</w:t>
            </w:r>
            <w:r w:rsidR="00194E72">
              <w:rPr>
                <w:rFonts w:asciiTheme="minorHAnsi" w:eastAsiaTheme="minorEastAsia" w:hAnsiTheme="minorHAnsi" w:cstheme="minorBidi"/>
              </w:rPr>
              <w:t xml:space="preserve"> </w:t>
            </w:r>
            <w:r w:rsidR="00194E72" w:rsidRPr="1D885AB6">
              <w:rPr>
                <w:rFonts w:asciiTheme="minorHAnsi" w:eastAsiaTheme="minorEastAsia" w:hAnsiTheme="minorHAnsi" w:cstheme="minorBidi"/>
              </w:rPr>
              <w:t>201</w:t>
            </w:r>
            <w:r>
              <w:rPr>
                <w:rFonts w:asciiTheme="minorHAnsi" w:eastAsiaTheme="minorEastAsia" w:hAnsiTheme="minorHAnsi" w:cstheme="minorBidi"/>
              </w:rPr>
              <w:t>8</w:t>
            </w:r>
          </w:p>
        </w:tc>
      </w:tr>
      <w:tr w:rsidR="00194E72" w14:paraId="1EAB377E" w14:textId="77777777" w:rsidTr="00700AB6">
        <w:tc>
          <w:tcPr>
            <w:tcW w:w="1985" w:type="dxa"/>
          </w:tcPr>
          <w:p w14:paraId="53CC75BD" w14:textId="77777777" w:rsidR="00194E72" w:rsidRDefault="00194E72" w:rsidP="00194E72">
            <w:pPr>
              <w:spacing w:after="0" w:line="240" w:lineRule="auto"/>
              <w:rPr>
                <w:rFonts w:ascii="Arial" w:eastAsia="Arial" w:hAnsi="Arial" w:cs="Arial"/>
                <w:b/>
                <w:sz w:val="20"/>
                <w:szCs w:val="20"/>
              </w:rPr>
            </w:pPr>
            <w:r>
              <w:rPr>
                <w:rFonts w:ascii="Arial" w:eastAsia="Arial" w:hAnsi="Arial" w:cs="Arial"/>
                <w:b/>
                <w:sz w:val="20"/>
                <w:szCs w:val="20"/>
              </w:rPr>
              <w:t>Next Review</w:t>
            </w:r>
          </w:p>
        </w:tc>
        <w:tc>
          <w:tcPr>
            <w:tcW w:w="7796" w:type="dxa"/>
          </w:tcPr>
          <w:p w14:paraId="65CDAE79" w14:textId="44D36653" w:rsidR="00194E72" w:rsidRDefault="00D913C8" w:rsidP="00194E72">
            <w:pPr>
              <w:spacing w:after="0" w:line="240" w:lineRule="auto"/>
              <w:rPr>
                <w:rFonts w:asciiTheme="minorHAnsi" w:eastAsiaTheme="minorEastAsia" w:hAnsiTheme="minorHAnsi" w:cstheme="minorBidi"/>
              </w:rPr>
            </w:pPr>
            <w:r>
              <w:rPr>
                <w:rFonts w:asciiTheme="minorHAnsi" w:eastAsiaTheme="minorEastAsia" w:hAnsiTheme="minorHAnsi" w:cstheme="minorBidi"/>
              </w:rPr>
              <w:t>July</w:t>
            </w:r>
            <w:r w:rsidR="00194E72" w:rsidRPr="1D885AB6">
              <w:rPr>
                <w:rFonts w:asciiTheme="minorHAnsi" w:eastAsiaTheme="minorEastAsia" w:hAnsiTheme="minorHAnsi" w:cstheme="minorBidi"/>
              </w:rPr>
              <w:t xml:space="preserve"> 201</w:t>
            </w:r>
            <w:r>
              <w:rPr>
                <w:rFonts w:asciiTheme="minorHAnsi" w:eastAsiaTheme="minorEastAsia" w:hAnsiTheme="minorHAnsi" w:cstheme="minorBidi"/>
              </w:rPr>
              <w:t>9</w:t>
            </w:r>
          </w:p>
        </w:tc>
      </w:tr>
      <w:tr w:rsidR="00194E72" w14:paraId="4260FA4A" w14:textId="77777777" w:rsidTr="00700AB6">
        <w:tc>
          <w:tcPr>
            <w:tcW w:w="1985" w:type="dxa"/>
          </w:tcPr>
          <w:p w14:paraId="297CA6F4" w14:textId="77777777" w:rsidR="00194E72" w:rsidRDefault="00194E72" w:rsidP="00194E72">
            <w:pPr>
              <w:spacing w:after="0" w:line="240" w:lineRule="auto"/>
              <w:rPr>
                <w:rFonts w:ascii="Arial" w:eastAsia="Arial" w:hAnsi="Arial" w:cs="Arial"/>
                <w:b/>
                <w:sz w:val="20"/>
                <w:szCs w:val="20"/>
              </w:rPr>
            </w:pPr>
            <w:r>
              <w:rPr>
                <w:rFonts w:ascii="Arial" w:eastAsia="Arial" w:hAnsi="Arial" w:cs="Arial"/>
                <w:b/>
                <w:sz w:val="20"/>
                <w:szCs w:val="20"/>
              </w:rPr>
              <w:t>Regulation(s)</w:t>
            </w:r>
          </w:p>
        </w:tc>
        <w:tc>
          <w:tcPr>
            <w:tcW w:w="7796" w:type="dxa"/>
          </w:tcPr>
          <w:p w14:paraId="2E1DB1BD" w14:textId="77777777" w:rsidR="00194E72" w:rsidRDefault="00194E72" w:rsidP="00194E72">
            <w:pPr>
              <w:spacing w:after="0" w:line="240" w:lineRule="auto"/>
              <w:rPr>
                <w:rFonts w:asciiTheme="minorHAnsi" w:eastAsiaTheme="minorEastAsia" w:hAnsiTheme="minorHAnsi" w:cstheme="minorBidi"/>
                <w:color w:val="0563C1"/>
                <w:u w:val="single"/>
              </w:rPr>
            </w:pPr>
            <w:r w:rsidRPr="1D885AB6">
              <w:rPr>
                <w:rFonts w:asciiTheme="minorHAnsi" w:eastAsiaTheme="minorEastAsia" w:hAnsiTheme="minorHAnsi" w:cstheme="minorBidi"/>
                <w:color w:val="0563C1"/>
                <w:u w:val="single"/>
              </w:rPr>
              <w:t xml:space="preserve">Regulation </w:t>
            </w:r>
            <w:hyperlink r:id="rId9" w:anchor="/view/regulation/2011/653/chap4/part4.7/div3/subdiv1/reg.176">
              <w:r w:rsidRPr="1D885AB6">
                <w:rPr>
                  <w:rStyle w:val="Hyperlink"/>
                  <w:rFonts w:asciiTheme="minorHAnsi" w:eastAsiaTheme="minorEastAsia" w:hAnsiTheme="minorHAnsi" w:cstheme="minorBidi"/>
                  <w:color w:val="0563C1"/>
                </w:rPr>
                <w:t>176</w:t>
              </w:r>
            </w:hyperlink>
            <w:r w:rsidRPr="1D885AB6">
              <w:rPr>
                <w:rFonts w:asciiTheme="minorHAnsi" w:eastAsiaTheme="minorEastAsia" w:hAnsiTheme="minorHAnsi" w:cstheme="minorBidi"/>
                <w:color w:val="0563C1"/>
                <w:u w:val="single"/>
              </w:rPr>
              <w:t xml:space="preserve"> </w:t>
            </w:r>
          </w:p>
          <w:p w14:paraId="443863FF" w14:textId="77777777" w:rsidR="00194E72" w:rsidRDefault="00E84354" w:rsidP="00194E72">
            <w:pPr>
              <w:spacing w:after="0" w:line="240" w:lineRule="auto"/>
              <w:rPr>
                <w:rFonts w:asciiTheme="minorHAnsi" w:eastAsiaTheme="minorEastAsia" w:hAnsiTheme="minorHAnsi" w:cstheme="minorBidi"/>
              </w:rPr>
            </w:pPr>
            <w:hyperlink r:id="rId10" w:anchor="/view/regulation/2011/653/chap4/part4.7/div2/reg.168">
              <w:r w:rsidR="00194E72" w:rsidRPr="1D885AB6">
                <w:rPr>
                  <w:rStyle w:val="Hyperlink"/>
                  <w:rFonts w:asciiTheme="minorHAnsi" w:eastAsiaTheme="minorEastAsia" w:hAnsiTheme="minorHAnsi" w:cstheme="minorBidi"/>
                  <w:color w:val="0563C1"/>
                </w:rPr>
                <w:t>Regulation 168</w:t>
              </w:r>
            </w:hyperlink>
          </w:p>
        </w:tc>
      </w:tr>
      <w:tr w:rsidR="00194E72" w14:paraId="69396E5B" w14:textId="77777777" w:rsidTr="00700AB6">
        <w:tc>
          <w:tcPr>
            <w:tcW w:w="1985" w:type="dxa"/>
          </w:tcPr>
          <w:p w14:paraId="1D6EBBC2" w14:textId="77777777" w:rsidR="00194E72" w:rsidRDefault="00194E72" w:rsidP="00194E72">
            <w:pPr>
              <w:spacing w:after="0" w:line="240" w:lineRule="auto"/>
              <w:rPr>
                <w:rFonts w:ascii="Arial" w:eastAsia="Arial" w:hAnsi="Arial" w:cs="Arial"/>
                <w:b/>
                <w:sz w:val="20"/>
                <w:szCs w:val="20"/>
              </w:rPr>
            </w:pPr>
            <w:r>
              <w:rPr>
                <w:rFonts w:ascii="Arial" w:eastAsia="Arial" w:hAnsi="Arial" w:cs="Arial"/>
                <w:b/>
                <w:sz w:val="20"/>
                <w:szCs w:val="20"/>
              </w:rPr>
              <w:t>National Quality Standard(s)</w:t>
            </w:r>
          </w:p>
        </w:tc>
        <w:tc>
          <w:tcPr>
            <w:tcW w:w="7796" w:type="dxa"/>
          </w:tcPr>
          <w:p w14:paraId="3C25B0E8" w14:textId="77777777" w:rsidR="00194E72" w:rsidRDefault="00194E72" w:rsidP="00194E72">
            <w:pPr>
              <w:spacing w:after="0" w:line="240" w:lineRule="auto"/>
              <w:rPr>
                <w:rFonts w:asciiTheme="minorHAnsi" w:eastAsiaTheme="minorEastAsia" w:hAnsiTheme="minorHAnsi" w:cstheme="minorBidi"/>
              </w:rPr>
            </w:pPr>
            <w:r w:rsidRPr="1D885AB6">
              <w:rPr>
                <w:rFonts w:asciiTheme="minorHAnsi" w:eastAsiaTheme="minorEastAsia" w:hAnsiTheme="minorHAnsi" w:cstheme="minorBidi"/>
              </w:rPr>
              <w:t>Standard 7.1</w:t>
            </w:r>
          </w:p>
          <w:p w14:paraId="0D008D4D" w14:textId="77777777" w:rsidR="00194E72" w:rsidRDefault="00194E72" w:rsidP="00194E72">
            <w:pPr>
              <w:spacing w:after="0" w:line="240" w:lineRule="auto"/>
              <w:rPr>
                <w:rFonts w:asciiTheme="minorHAnsi" w:eastAsiaTheme="minorEastAsia" w:hAnsiTheme="minorHAnsi" w:cstheme="minorBidi"/>
              </w:rPr>
            </w:pPr>
            <w:r w:rsidRPr="1D885AB6">
              <w:rPr>
                <w:rFonts w:asciiTheme="minorHAnsi" w:eastAsiaTheme="minorEastAsia" w:hAnsiTheme="minorHAnsi" w:cstheme="minorBidi"/>
              </w:rPr>
              <w:t xml:space="preserve">Standard 7.2 </w:t>
            </w:r>
          </w:p>
        </w:tc>
      </w:tr>
      <w:tr w:rsidR="00194E72" w14:paraId="2AEB6BBC" w14:textId="77777777" w:rsidTr="00700AB6">
        <w:tc>
          <w:tcPr>
            <w:tcW w:w="1985" w:type="dxa"/>
          </w:tcPr>
          <w:p w14:paraId="5B4B796A" w14:textId="77777777" w:rsidR="00194E72" w:rsidRDefault="00194E72" w:rsidP="00194E72">
            <w:pPr>
              <w:spacing w:after="0" w:line="240" w:lineRule="auto"/>
              <w:rPr>
                <w:rFonts w:ascii="Arial" w:eastAsia="Arial" w:hAnsi="Arial" w:cs="Arial"/>
                <w:b/>
                <w:sz w:val="20"/>
                <w:szCs w:val="20"/>
              </w:rPr>
            </w:pPr>
            <w:r>
              <w:rPr>
                <w:rFonts w:ascii="Arial" w:eastAsia="Arial" w:hAnsi="Arial" w:cs="Arial"/>
                <w:b/>
                <w:sz w:val="20"/>
                <w:szCs w:val="20"/>
              </w:rPr>
              <w:t>Relevant DoE Policy and link</w:t>
            </w:r>
          </w:p>
        </w:tc>
        <w:tc>
          <w:tcPr>
            <w:tcW w:w="7796" w:type="dxa"/>
          </w:tcPr>
          <w:p w14:paraId="797DC7F9" w14:textId="77777777" w:rsidR="00194E72" w:rsidRPr="0076768C" w:rsidRDefault="00E84354" w:rsidP="00194E72">
            <w:pPr>
              <w:spacing w:after="0" w:line="240" w:lineRule="auto"/>
              <w:rPr>
                <w:rFonts w:asciiTheme="minorHAnsi" w:eastAsiaTheme="minorEastAsia" w:hAnsiTheme="minorHAnsi" w:cstheme="minorBidi"/>
              </w:rPr>
            </w:pPr>
            <w:hyperlink r:id="rId11">
              <w:r w:rsidR="00194E72" w:rsidRPr="1D885AB6">
                <w:rPr>
                  <w:rFonts w:asciiTheme="minorHAnsi" w:eastAsiaTheme="minorEastAsia" w:hAnsiTheme="minorHAnsi" w:cstheme="minorBidi"/>
                  <w:color w:val="0000FF"/>
                  <w:u w:val="single"/>
                </w:rPr>
                <w:t xml:space="preserve">Public Schools NSW Complaints Handling Policy </w:t>
              </w:r>
            </w:hyperlink>
          </w:p>
          <w:p w14:paraId="3A3C5073" w14:textId="77777777" w:rsidR="00A85BF0" w:rsidRDefault="00E84354" w:rsidP="00194E72">
            <w:pPr>
              <w:spacing w:after="0" w:line="240" w:lineRule="auto"/>
              <w:ind w:left="720"/>
              <w:rPr>
                <w:rStyle w:val="Hyperlink"/>
                <w:rFonts w:asciiTheme="minorHAnsi" w:eastAsiaTheme="minorEastAsia" w:hAnsiTheme="minorHAnsi" w:cstheme="minorBidi"/>
                <w:color w:val="0000FF"/>
              </w:rPr>
            </w:pPr>
            <w:hyperlink r:id="rId12">
              <w:r w:rsidR="00194E72" w:rsidRPr="1D885AB6">
                <w:rPr>
                  <w:rStyle w:val="Hyperlink"/>
                  <w:rFonts w:asciiTheme="minorHAnsi" w:eastAsiaTheme="minorEastAsia" w:hAnsiTheme="minorHAnsi" w:cstheme="minorBidi"/>
                  <w:color w:val="0000FF"/>
                </w:rPr>
                <w:t>Public Schools NSW: School Community and Consumer Complaint Procedures complaints</w:t>
              </w:r>
            </w:hyperlink>
          </w:p>
          <w:p w14:paraId="75ED4536" w14:textId="63211820" w:rsidR="00A85BF0" w:rsidRDefault="00A85BF0" w:rsidP="00A85BF0">
            <w:pPr>
              <w:spacing w:after="0" w:line="240" w:lineRule="auto"/>
              <w:rPr>
                <w:rStyle w:val="Hyperlink"/>
                <w:rFonts w:asciiTheme="minorHAnsi" w:eastAsiaTheme="minorEastAsia" w:hAnsiTheme="minorHAnsi" w:cstheme="minorBidi"/>
                <w:color w:val="0000FF"/>
              </w:rPr>
            </w:pPr>
            <w:hyperlink r:id="rId13" w:history="1">
              <w:r w:rsidRPr="00A85BF0">
                <w:rPr>
                  <w:rStyle w:val="Hyperlink"/>
                  <w:rFonts w:asciiTheme="minorHAnsi" w:eastAsiaTheme="minorEastAsia" w:hAnsiTheme="minorHAnsi" w:cstheme="minorBidi"/>
                </w:rPr>
                <w:t>Preschool Class Fees in Government Schools Policy</w:t>
              </w:r>
            </w:hyperlink>
          </w:p>
          <w:p w14:paraId="51473423" w14:textId="5989E489" w:rsidR="00A85BF0" w:rsidRDefault="00A85BF0" w:rsidP="00A85BF0">
            <w:pPr>
              <w:spacing w:after="0" w:line="240" w:lineRule="auto"/>
              <w:rPr>
                <w:rStyle w:val="Hyperlink"/>
                <w:rFonts w:asciiTheme="minorHAnsi" w:eastAsiaTheme="minorEastAsia" w:hAnsiTheme="minorHAnsi" w:cstheme="minorBidi"/>
                <w:color w:val="0000FF"/>
              </w:rPr>
            </w:pPr>
            <w:hyperlink r:id="rId14" w:history="1">
              <w:r w:rsidRPr="00A85BF0">
                <w:rPr>
                  <w:rStyle w:val="Hyperlink"/>
                  <w:rFonts w:asciiTheme="minorHAnsi" w:eastAsiaTheme="minorEastAsia" w:hAnsiTheme="minorHAnsi" w:cstheme="minorBidi"/>
                </w:rPr>
                <w:t>Preschool Fees-FAQs</w:t>
              </w:r>
            </w:hyperlink>
            <w:bookmarkStart w:id="0" w:name="_GoBack"/>
            <w:bookmarkEnd w:id="0"/>
          </w:p>
          <w:p w14:paraId="696D8DF2" w14:textId="2A851B8F" w:rsidR="00194E72" w:rsidRDefault="00E84354" w:rsidP="00A85BF0">
            <w:pPr>
              <w:spacing w:after="0" w:line="240" w:lineRule="auto"/>
              <w:rPr>
                <w:rFonts w:asciiTheme="minorHAnsi" w:eastAsiaTheme="minorEastAsia" w:hAnsiTheme="minorHAnsi" w:cstheme="minorBidi"/>
                <w:color w:val="0000FF"/>
                <w:u w:val="single"/>
              </w:rPr>
            </w:pPr>
            <w:hyperlink r:id="rId15"/>
          </w:p>
        </w:tc>
      </w:tr>
      <w:tr w:rsidR="00194E72" w14:paraId="31176E25" w14:textId="77777777" w:rsidTr="00700AB6">
        <w:tc>
          <w:tcPr>
            <w:tcW w:w="1985" w:type="dxa"/>
          </w:tcPr>
          <w:p w14:paraId="2490D793" w14:textId="77777777" w:rsidR="00194E72" w:rsidRDefault="00194E72" w:rsidP="00194E72">
            <w:pPr>
              <w:spacing w:after="0" w:line="240" w:lineRule="auto"/>
              <w:rPr>
                <w:rFonts w:ascii="Arial" w:eastAsia="Arial" w:hAnsi="Arial" w:cs="Arial"/>
                <w:b/>
                <w:sz w:val="20"/>
                <w:szCs w:val="20"/>
              </w:rPr>
            </w:pPr>
            <w:r>
              <w:rPr>
                <w:rFonts w:ascii="Arial" w:eastAsia="Arial" w:hAnsi="Arial" w:cs="Arial"/>
                <w:b/>
                <w:sz w:val="20"/>
                <w:szCs w:val="20"/>
              </w:rPr>
              <w:t>Relevant School Procedure</w:t>
            </w:r>
          </w:p>
        </w:tc>
        <w:tc>
          <w:tcPr>
            <w:tcW w:w="7796" w:type="dxa"/>
          </w:tcPr>
          <w:p w14:paraId="63AAF8CB" w14:textId="77777777" w:rsidR="00194E72" w:rsidRDefault="00194E72" w:rsidP="00194E72">
            <w:pPr>
              <w:spacing w:after="0" w:line="240" w:lineRule="auto"/>
              <w:rPr>
                <w:rFonts w:asciiTheme="minorHAnsi" w:eastAsiaTheme="minorEastAsia" w:hAnsiTheme="minorHAnsi" w:cstheme="minorBidi"/>
                <w:color w:val="0000FF"/>
                <w:u w:val="single"/>
              </w:rPr>
            </w:pPr>
          </w:p>
        </w:tc>
      </w:tr>
      <w:tr w:rsidR="00194E72" w14:paraId="10427C7F" w14:textId="77777777" w:rsidTr="00700AB6">
        <w:tc>
          <w:tcPr>
            <w:tcW w:w="1985" w:type="dxa"/>
          </w:tcPr>
          <w:p w14:paraId="6AE95895" w14:textId="77777777" w:rsidR="00194E72" w:rsidRDefault="00194E72" w:rsidP="00194E72">
            <w:pPr>
              <w:spacing w:after="0" w:line="240" w:lineRule="auto"/>
              <w:rPr>
                <w:rFonts w:ascii="Arial" w:eastAsia="Arial" w:hAnsi="Arial" w:cs="Arial"/>
                <w:b/>
                <w:sz w:val="20"/>
                <w:szCs w:val="20"/>
              </w:rPr>
            </w:pPr>
            <w:r>
              <w:rPr>
                <w:rFonts w:ascii="Arial" w:eastAsia="Arial" w:hAnsi="Arial" w:cs="Arial"/>
                <w:b/>
                <w:sz w:val="20"/>
                <w:szCs w:val="20"/>
              </w:rPr>
              <w:t>Key Resources</w:t>
            </w:r>
          </w:p>
        </w:tc>
        <w:tc>
          <w:tcPr>
            <w:tcW w:w="7796" w:type="dxa"/>
          </w:tcPr>
          <w:p w14:paraId="14F82F7D" w14:textId="77777777" w:rsidR="00194E72" w:rsidRDefault="00E84354" w:rsidP="00194E72">
            <w:pPr>
              <w:spacing w:after="0" w:line="240" w:lineRule="auto"/>
              <w:rPr>
                <w:rFonts w:asciiTheme="minorHAnsi" w:eastAsiaTheme="minorEastAsia" w:hAnsiTheme="minorHAnsi" w:cstheme="minorBidi"/>
              </w:rPr>
            </w:pPr>
            <w:hyperlink r:id="rId16">
              <w:r w:rsidR="00194E72" w:rsidRPr="1D885AB6">
                <w:rPr>
                  <w:rStyle w:val="Hyperlink"/>
                  <w:rFonts w:asciiTheme="minorHAnsi" w:eastAsiaTheme="minorEastAsia" w:hAnsiTheme="minorHAnsi" w:cstheme="minorBidi"/>
                  <w:color w:val="0563C1"/>
                </w:rPr>
                <w:t>Public Schools NSW Preschool Notification Fact Sheet (PDF)</w:t>
              </w:r>
            </w:hyperlink>
          </w:p>
        </w:tc>
      </w:tr>
    </w:tbl>
    <w:p w14:paraId="7A5E663D" w14:textId="207A7F68" w:rsidR="00CA4B0A" w:rsidRPr="00194E72" w:rsidRDefault="00EE7655" w:rsidP="00194E72">
      <w:r>
        <w:rPr>
          <w:noProof/>
          <w:lang w:val="en-US" w:eastAsia="en-US"/>
        </w:rPr>
        <mc:AlternateContent>
          <mc:Choice Requires="wps">
            <w:drawing>
              <wp:anchor distT="0" distB="0" distL="114300" distR="114300" simplePos="0" relativeHeight="251660288" behindDoc="0" locked="0" layoutInCell="0" hidden="0" allowOverlap="1" wp14:anchorId="130540E7" wp14:editId="4B97A998">
                <wp:simplePos x="0" y="0"/>
                <wp:positionH relativeFrom="margin">
                  <wp:posOffset>7505700</wp:posOffset>
                </wp:positionH>
                <wp:positionV relativeFrom="paragraph">
                  <wp:posOffset>-444499</wp:posOffset>
                </wp:positionV>
                <wp:extent cx="2514600" cy="698500"/>
                <wp:effectExtent l="0" t="0" r="0" b="0"/>
                <wp:wrapNone/>
                <wp:docPr id="4" name="Rectangle 4"/>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21C27030" w14:textId="77777777" w:rsidR="00F52380" w:rsidRDefault="00EE7655">
                            <w:pPr>
                              <w:spacing w:after="0" w:line="240" w:lineRule="auto"/>
                              <w:textDirection w:val="btLr"/>
                            </w:pPr>
                            <w:r>
                              <w:rPr>
                                <w:rFonts w:ascii="Arial" w:eastAsia="Arial" w:hAnsi="Arial" w:cs="Arial"/>
                                <w:b/>
                                <w:color w:val="FFFFFF"/>
                                <w:sz w:val="19"/>
                              </w:rPr>
                              <w:t xml:space="preserve">Forbes Street Woolloomooloo 2013 </w:t>
                            </w:r>
                          </w:p>
                          <w:p w14:paraId="3B569C1C" w14:textId="77777777" w:rsidR="00F52380" w:rsidRDefault="00EE7655">
                            <w:pPr>
                              <w:spacing w:after="0" w:line="240" w:lineRule="auto"/>
                              <w:textDirection w:val="btLr"/>
                            </w:pPr>
                            <w:r>
                              <w:rPr>
                                <w:rFonts w:ascii="Arial" w:eastAsia="Arial" w:hAnsi="Arial" w:cs="Arial"/>
                                <w:b/>
                                <w:color w:val="FFFFFF"/>
                                <w:sz w:val="19"/>
                              </w:rPr>
                              <w:t xml:space="preserve">T: 9358 5335/6  </w:t>
                            </w:r>
                          </w:p>
                          <w:p w14:paraId="04AFB145" w14:textId="77777777" w:rsidR="00F52380" w:rsidRDefault="00EE7655">
                            <w:pPr>
                              <w:spacing w:after="0" w:line="240" w:lineRule="auto"/>
                              <w:textDirection w:val="btLr"/>
                            </w:pPr>
                            <w:r>
                              <w:rPr>
                                <w:rFonts w:ascii="Arial" w:eastAsia="Arial" w:hAnsi="Arial" w:cs="Arial"/>
                                <w:b/>
                                <w:color w:val="FFFFFF"/>
                                <w:sz w:val="19"/>
                              </w:rPr>
                              <w:t xml:space="preserve">F: 93571831  </w:t>
                            </w:r>
                          </w:p>
                          <w:p w14:paraId="63306866" w14:textId="77777777" w:rsidR="00F52380" w:rsidRDefault="00EE7655">
                            <w:pPr>
                              <w:spacing w:after="0" w:line="240" w:lineRule="auto"/>
                              <w:textDirection w:val="btLr"/>
                            </w:pPr>
                            <w:r>
                              <w:rPr>
                                <w:rFonts w:ascii="Arial" w:eastAsia="Arial" w:hAnsi="Arial" w:cs="Arial"/>
                                <w:b/>
                                <w:color w:val="FFFFFF"/>
                                <w:sz w:val="19"/>
                              </w:rPr>
                              <w:t>E: plunketstr-p.school@det.nsw.edu.au</w:t>
                            </w:r>
                          </w:p>
                          <w:p w14:paraId="53220412" w14:textId="77777777" w:rsidR="00F52380" w:rsidRDefault="00F52380">
                            <w:pPr>
                              <w:spacing w:after="0" w:line="275" w:lineRule="auto"/>
                              <w:textDirection w:val="btLr"/>
                            </w:pPr>
                          </w:p>
                        </w:txbxContent>
                      </wps:txbx>
                      <wps:bodyPr lIns="91425" tIns="45700" rIns="91425" bIns="45700" anchor="t" anchorCtr="0"/>
                    </wps:wsp>
                  </a:graphicData>
                </a:graphic>
              </wp:anchor>
            </w:drawing>
          </mc:Choice>
          <mc:Fallback>
            <w:pict>
              <v:rect w14:anchorId="130540E7" id="Rectangle 4" o:spid="_x0000_s1028" style="position:absolute;margin-left:591pt;margin-top:-35pt;width:198pt;height: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" o:allowincell="f" fillcolor="#f90" strokecolor="#fc0">
                <v:textbox inset="2.53958mm,1.2694mm,2.53958mm,1.2694mm">
                  <w:txbxContent>
                    <w:p w14:paraId="21C27030" w14:textId="77777777" w:rsidR="00F52380" w:rsidRDefault="00EE7655">
                      <w:pPr>
                        <w:spacing w:after="0" w:line="240" w:lineRule="auto"/>
                        <w:textDirection w:val="btLr"/>
                      </w:pPr>
                      <w:r>
                        <w:rPr>
                          <w:rFonts w:ascii="Arial" w:eastAsia="Arial" w:hAnsi="Arial" w:cs="Arial"/>
                          <w:b/>
                          <w:color w:val="FFFFFF"/>
                          <w:sz w:val="19"/>
                        </w:rPr>
                        <w:t xml:space="preserve">Forbes Street Woolloomooloo 2013 </w:t>
                      </w:r>
                    </w:p>
                    <w:p w14:paraId="3B569C1C" w14:textId="77777777" w:rsidR="00F52380" w:rsidRDefault="00EE7655">
                      <w:pPr>
                        <w:spacing w:after="0" w:line="240" w:lineRule="auto"/>
                        <w:textDirection w:val="btLr"/>
                      </w:pPr>
                      <w:r>
                        <w:rPr>
                          <w:rFonts w:ascii="Arial" w:eastAsia="Arial" w:hAnsi="Arial" w:cs="Arial"/>
                          <w:b/>
                          <w:color w:val="FFFFFF"/>
                          <w:sz w:val="19"/>
                        </w:rPr>
                        <w:t xml:space="preserve">T: 9358 5335/6  </w:t>
                      </w:r>
                    </w:p>
                    <w:p w14:paraId="04AFB145" w14:textId="77777777" w:rsidR="00F52380" w:rsidRDefault="00EE7655">
                      <w:pPr>
                        <w:spacing w:after="0" w:line="240" w:lineRule="auto"/>
                        <w:textDirection w:val="btLr"/>
                      </w:pPr>
                      <w:r>
                        <w:rPr>
                          <w:rFonts w:ascii="Arial" w:eastAsia="Arial" w:hAnsi="Arial" w:cs="Arial"/>
                          <w:b/>
                          <w:color w:val="FFFFFF"/>
                          <w:sz w:val="19"/>
                        </w:rPr>
                        <w:t xml:space="preserve">F: 93571831  </w:t>
                      </w:r>
                    </w:p>
                    <w:p w14:paraId="63306866" w14:textId="77777777" w:rsidR="00F52380" w:rsidRDefault="00EE7655">
                      <w:pPr>
                        <w:spacing w:after="0" w:line="240" w:lineRule="auto"/>
                        <w:textDirection w:val="btLr"/>
                      </w:pPr>
                      <w:r>
                        <w:rPr>
                          <w:rFonts w:ascii="Arial" w:eastAsia="Arial" w:hAnsi="Arial" w:cs="Arial"/>
                          <w:b/>
                          <w:color w:val="FFFFFF"/>
                          <w:sz w:val="19"/>
                        </w:rPr>
                        <w:t>E: plunketstr-p.school@det.nsw.edu.au</w:t>
                      </w:r>
                    </w:p>
                    <w:p w14:paraId="53220412" w14:textId="77777777" w:rsidR="00F52380" w:rsidRDefault="00F52380">
                      <w:pPr>
                        <w:spacing w:after="0" w:line="275" w:lineRule="auto"/>
                        <w:textDirection w:val="btLr"/>
                      </w:pPr>
                    </w:p>
                  </w:txbxContent>
                </v:textbox>
                <w10:wrap anchorx="margin"/>
              </v:rect>
            </w:pict>
          </mc:Fallback>
        </mc:AlternateContent>
      </w:r>
    </w:p>
    <w:p w14:paraId="12851FEF" w14:textId="407ED0BE" w:rsidR="00CA4B0A" w:rsidRPr="007143D6" w:rsidRDefault="00CA4B0A" w:rsidP="00CA4B0A">
      <w:pPr>
        <w:pStyle w:val="ListParagraph"/>
        <w:numPr>
          <w:ilvl w:val="0"/>
          <w:numId w:val="3"/>
        </w:numPr>
        <w:autoSpaceDE w:val="0"/>
        <w:autoSpaceDN w:val="0"/>
        <w:adjustRightInd w:val="0"/>
        <w:spacing w:after="0" w:line="240" w:lineRule="auto"/>
        <w:rPr>
          <w:rFonts w:ascii="Arial" w:hAnsi="Arial" w:cs="Arial"/>
          <w:sz w:val="24"/>
          <w:szCs w:val="24"/>
        </w:rPr>
      </w:pPr>
      <w:r w:rsidRPr="007143D6">
        <w:rPr>
          <w:rFonts w:ascii="Arial" w:hAnsi="Arial" w:cs="Arial"/>
          <w:sz w:val="24"/>
          <w:szCs w:val="24"/>
        </w:rPr>
        <w:t>The Pre-School fees are set by the Department of Edu</w:t>
      </w:r>
      <w:r w:rsidR="00D913C8">
        <w:rPr>
          <w:rFonts w:ascii="Arial" w:hAnsi="Arial" w:cs="Arial"/>
          <w:sz w:val="24"/>
          <w:szCs w:val="24"/>
        </w:rPr>
        <w:t>cation and Community and in 2018 the fees are</w:t>
      </w:r>
    </w:p>
    <w:p w14:paraId="1826CB59" w14:textId="5C1AF00C" w:rsidR="00CA4B0A" w:rsidRPr="007143D6" w:rsidRDefault="00CA4B0A" w:rsidP="00CA4B0A">
      <w:pPr>
        <w:pStyle w:val="ListParagraph"/>
        <w:numPr>
          <w:ilvl w:val="0"/>
          <w:numId w:val="4"/>
        </w:numPr>
        <w:spacing w:after="0" w:line="240" w:lineRule="auto"/>
        <w:jc w:val="both"/>
        <w:rPr>
          <w:rFonts w:ascii="Arial" w:eastAsia="Arial Unicode MS" w:hAnsi="Arial" w:cs="Arial"/>
          <w:sz w:val="24"/>
          <w:szCs w:val="24"/>
        </w:rPr>
      </w:pPr>
      <w:r w:rsidRPr="007143D6">
        <w:rPr>
          <w:rFonts w:ascii="Arial" w:hAnsi="Arial" w:cs="Arial"/>
          <w:sz w:val="24"/>
          <w:szCs w:val="24"/>
        </w:rPr>
        <w:t xml:space="preserve">Low Income </w:t>
      </w:r>
      <w:r w:rsidR="00A01078">
        <w:rPr>
          <w:rFonts w:ascii="Arial" w:eastAsia="Arial Unicode MS" w:hAnsi="Arial" w:cs="Arial"/>
          <w:sz w:val="24"/>
          <w:szCs w:val="24"/>
        </w:rPr>
        <w:t>Health Care Card holders $1</w:t>
      </w:r>
      <w:r w:rsidRPr="007143D6">
        <w:rPr>
          <w:rFonts w:ascii="Arial" w:eastAsia="Arial Unicode MS" w:hAnsi="Arial" w:cs="Arial"/>
          <w:sz w:val="24"/>
          <w:szCs w:val="24"/>
        </w:rPr>
        <w:t xml:space="preserve"> per day</w:t>
      </w:r>
    </w:p>
    <w:p w14:paraId="2353DFAA" w14:textId="77777777" w:rsidR="00CA4B0A" w:rsidRPr="007143D6" w:rsidRDefault="00CA4B0A" w:rsidP="00CA4B0A">
      <w:pPr>
        <w:pStyle w:val="ListParagraph"/>
        <w:numPr>
          <w:ilvl w:val="0"/>
          <w:numId w:val="4"/>
        </w:numPr>
        <w:spacing w:after="0" w:line="240" w:lineRule="auto"/>
        <w:jc w:val="both"/>
        <w:rPr>
          <w:rFonts w:ascii="Arial" w:eastAsia="Arial Unicode MS" w:hAnsi="Arial" w:cs="Arial"/>
          <w:sz w:val="24"/>
          <w:szCs w:val="24"/>
        </w:rPr>
      </w:pPr>
      <w:r w:rsidRPr="007143D6">
        <w:rPr>
          <w:rFonts w:ascii="Arial" w:eastAsia="Arial Unicode MS" w:hAnsi="Arial" w:cs="Arial"/>
          <w:sz w:val="24"/>
          <w:szCs w:val="24"/>
        </w:rPr>
        <w:t>Non- Low Inc</w:t>
      </w:r>
      <w:r w:rsidR="00A01078">
        <w:rPr>
          <w:rFonts w:ascii="Arial" w:eastAsia="Arial Unicode MS" w:hAnsi="Arial" w:cs="Arial"/>
          <w:sz w:val="24"/>
          <w:szCs w:val="24"/>
        </w:rPr>
        <w:t>ome Health Care Card holders $10</w:t>
      </w:r>
      <w:r w:rsidRPr="007143D6">
        <w:rPr>
          <w:rFonts w:ascii="Arial" w:eastAsia="Arial Unicode MS" w:hAnsi="Arial" w:cs="Arial"/>
          <w:sz w:val="24"/>
          <w:szCs w:val="24"/>
        </w:rPr>
        <w:t xml:space="preserve"> per day</w:t>
      </w:r>
      <w:r w:rsidRPr="007143D6">
        <w:rPr>
          <w:rFonts w:ascii="Arial" w:eastAsia="Arial Unicode MS" w:hAnsi="Arial" w:cs="Arial"/>
          <w:b/>
          <w:sz w:val="24"/>
          <w:szCs w:val="24"/>
        </w:rPr>
        <w:t xml:space="preserve"> </w:t>
      </w:r>
    </w:p>
    <w:p w14:paraId="63B8376D" w14:textId="2364BC4E" w:rsidR="00CA4B0A" w:rsidRPr="007143D6" w:rsidRDefault="00D913C8" w:rsidP="00CA4B0A">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The fees can</w:t>
      </w:r>
      <w:r w:rsidR="00C80343">
        <w:rPr>
          <w:rFonts w:ascii="Arial" w:hAnsi="Arial" w:cs="Arial"/>
          <w:sz w:val="24"/>
          <w:szCs w:val="24"/>
        </w:rPr>
        <w:t xml:space="preserve"> be paid weekly, fortnightly or for the whole term.</w:t>
      </w:r>
    </w:p>
    <w:p w14:paraId="2D33330E" w14:textId="77777777" w:rsidR="00CA4B0A" w:rsidRPr="007143D6" w:rsidRDefault="00CA4B0A" w:rsidP="00CA4B0A">
      <w:pPr>
        <w:pStyle w:val="ListParagraph"/>
        <w:numPr>
          <w:ilvl w:val="0"/>
          <w:numId w:val="3"/>
        </w:numPr>
        <w:autoSpaceDE w:val="0"/>
        <w:autoSpaceDN w:val="0"/>
        <w:adjustRightInd w:val="0"/>
        <w:spacing w:after="0" w:line="240" w:lineRule="auto"/>
        <w:rPr>
          <w:rFonts w:ascii="Arial" w:hAnsi="Arial" w:cs="Arial"/>
          <w:sz w:val="24"/>
          <w:szCs w:val="24"/>
        </w:rPr>
      </w:pPr>
      <w:r w:rsidRPr="007143D6">
        <w:rPr>
          <w:rFonts w:ascii="Arial" w:hAnsi="Arial" w:cs="Arial"/>
          <w:sz w:val="24"/>
          <w:szCs w:val="24"/>
        </w:rPr>
        <w:t>Families pa</w:t>
      </w:r>
      <w:r w:rsidR="00A01078">
        <w:rPr>
          <w:rFonts w:ascii="Arial" w:hAnsi="Arial" w:cs="Arial"/>
          <w:sz w:val="24"/>
          <w:szCs w:val="24"/>
        </w:rPr>
        <w:t>y in person at the preschool</w:t>
      </w:r>
      <w:r w:rsidRPr="007143D6">
        <w:rPr>
          <w:rFonts w:ascii="Arial" w:hAnsi="Arial" w:cs="Arial"/>
          <w:sz w:val="24"/>
          <w:szCs w:val="24"/>
        </w:rPr>
        <w:t xml:space="preserve">, </w:t>
      </w:r>
      <w:r w:rsidR="00A01078">
        <w:rPr>
          <w:rFonts w:ascii="Arial" w:hAnsi="Arial" w:cs="Arial"/>
          <w:sz w:val="24"/>
          <w:szCs w:val="24"/>
        </w:rPr>
        <w:t xml:space="preserve">by EFTPOS at the school office or online by credit card on the School </w:t>
      </w:r>
      <w:proofErr w:type="spellStart"/>
      <w:r w:rsidR="00A01078">
        <w:rPr>
          <w:rFonts w:ascii="Arial" w:hAnsi="Arial" w:cs="Arial"/>
          <w:sz w:val="24"/>
          <w:szCs w:val="24"/>
        </w:rPr>
        <w:t>Enews</w:t>
      </w:r>
      <w:proofErr w:type="spellEnd"/>
      <w:r w:rsidR="00A01078">
        <w:rPr>
          <w:rFonts w:ascii="Arial" w:hAnsi="Arial" w:cs="Arial"/>
          <w:sz w:val="24"/>
          <w:szCs w:val="24"/>
        </w:rPr>
        <w:t xml:space="preserve"> App.</w:t>
      </w:r>
    </w:p>
    <w:p w14:paraId="203A6D7D" w14:textId="77777777" w:rsidR="00CA4B0A" w:rsidRPr="007143D6" w:rsidRDefault="00CA4B0A" w:rsidP="00CA4B0A">
      <w:pPr>
        <w:pStyle w:val="ListParagraph"/>
        <w:numPr>
          <w:ilvl w:val="0"/>
          <w:numId w:val="3"/>
        </w:numPr>
        <w:autoSpaceDE w:val="0"/>
        <w:autoSpaceDN w:val="0"/>
        <w:adjustRightInd w:val="0"/>
        <w:spacing w:after="0" w:line="240" w:lineRule="auto"/>
        <w:rPr>
          <w:rFonts w:ascii="Arial" w:hAnsi="Arial" w:cs="Arial"/>
          <w:sz w:val="24"/>
          <w:szCs w:val="24"/>
        </w:rPr>
      </w:pPr>
      <w:r w:rsidRPr="007143D6">
        <w:rPr>
          <w:rFonts w:ascii="Arial" w:eastAsia="Arial Unicode MS" w:hAnsi="Arial" w:cs="Arial"/>
          <w:sz w:val="24"/>
          <w:szCs w:val="24"/>
        </w:rPr>
        <w:t xml:space="preserve">Fees are compulsory for all our families. </w:t>
      </w:r>
    </w:p>
    <w:p w14:paraId="7C87203C" w14:textId="6A98B92D" w:rsidR="007143D6" w:rsidRDefault="00CA4B0A" w:rsidP="007143D6">
      <w:pPr>
        <w:pStyle w:val="ListParagraph"/>
        <w:numPr>
          <w:ilvl w:val="0"/>
          <w:numId w:val="3"/>
        </w:numPr>
        <w:autoSpaceDE w:val="0"/>
        <w:autoSpaceDN w:val="0"/>
        <w:adjustRightInd w:val="0"/>
        <w:spacing w:after="0" w:line="240" w:lineRule="auto"/>
        <w:rPr>
          <w:rFonts w:ascii="Arial" w:hAnsi="Arial" w:cs="Arial"/>
          <w:sz w:val="24"/>
          <w:szCs w:val="24"/>
        </w:rPr>
      </w:pPr>
      <w:r w:rsidRPr="007143D6">
        <w:rPr>
          <w:rFonts w:ascii="Arial" w:eastAsia="Arial Unicode MS" w:hAnsi="Arial" w:cs="Arial"/>
          <w:sz w:val="24"/>
          <w:szCs w:val="24"/>
        </w:rPr>
        <w:t xml:space="preserve">If families are having difficulty paying their fees, they </w:t>
      </w:r>
      <w:r w:rsidR="00D913C8">
        <w:rPr>
          <w:rFonts w:ascii="Arial" w:eastAsia="Arial Unicode MS" w:hAnsi="Arial" w:cs="Arial"/>
          <w:sz w:val="24"/>
          <w:szCs w:val="24"/>
        </w:rPr>
        <w:t xml:space="preserve">are </w:t>
      </w:r>
      <w:r w:rsidRPr="007143D6">
        <w:rPr>
          <w:rFonts w:ascii="Arial" w:eastAsia="Arial Unicode MS" w:hAnsi="Arial" w:cs="Arial"/>
          <w:sz w:val="24"/>
          <w:szCs w:val="24"/>
        </w:rPr>
        <w:t xml:space="preserve">encouraged to speak to the Principal who can elect to waiver the fees. </w:t>
      </w:r>
      <w:r w:rsidR="007143D6" w:rsidRPr="007143D6">
        <w:rPr>
          <w:rFonts w:ascii="Arial" w:hAnsi="Arial" w:cs="Arial"/>
          <w:sz w:val="24"/>
          <w:szCs w:val="24"/>
        </w:rPr>
        <w:t>Parents can be assured that they can discuss issues relating to fees with the principal in absolute confidentiality.</w:t>
      </w:r>
    </w:p>
    <w:p w14:paraId="66EC971B" w14:textId="77777777" w:rsidR="007143D6" w:rsidRDefault="007143D6" w:rsidP="007143D6">
      <w:pPr>
        <w:pStyle w:val="ListParagraph"/>
        <w:numPr>
          <w:ilvl w:val="0"/>
          <w:numId w:val="3"/>
        </w:numPr>
        <w:autoSpaceDE w:val="0"/>
        <w:autoSpaceDN w:val="0"/>
        <w:adjustRightInd w:val="0"/>
        <w:spacing w:after="0" w:line="240" w:lineRule="auto"/>
        <w:rPr>
          <w:rFonts w:ascii="Arial" w:hAnsi="Arial" w:cs="Arial"/>
          <w:sz w:val="24"/>
          <w:szCs w:val="24"/>
        </w:rPr>
      </w:pPr>
      <w:r w:rsidRPr="007143D6">
        <w:rPr>
          <w:rFonts w:ascii="Arial" w:hAnsi="Arial" w:cs="Arial"/>
          <w:sz w:val="24"/>
          <w:szCs w:val="24"/>
        </w:rPr>
        <w:t>In exceptional circumstances, the school principal will be able to consider a full fee exemption on either a short or long term basis. Exemptions can be r</w:t>
      </w:r>
      <w:r>
        <w:rPr>
          <w:rFonts w:ascii="Arial" w:hAnsi="Arial" w:cs="Arial"/>
          <w:sz w:val="24"/>
          <w:szCs w:val="24"/>
        </w:rPr>
        <w:t>ecorded on an individual ‘</w:t>
      </w:r>
      <w:r w:rsidRPr="007143D6">
        <w:rPr>
          <w:rFonts w:ascii="Arial" w:hAnsi="Arial" w:cs="Arial"/>
          <w:sz w:val="24"/>
          <w:szCs w:val="24"/>
        </w:rPr>
        <w:t>Preschool Fee Exemptions</w:t>
      </w:r>
      <w:r>
        <w:rPr>
          <w:rFonts w:ascii="Arial" w:hAnsi="Arial" w:cs="Arial"/>
          <w:sz w:val="24"/>
          <w:szCs w:val="24"/>
        </w:rPr>
        <w:t>’ form</w:t>
      </w:r>
      <w:r w:rsidRPr="007143D6">
        <w:rPr>
          <w:rFonts w:ascii="Arial" w:hAnsi="Arial" w:cs="Arial"/>
          <w:sz w:val="24"/>
          <w:szCs w:val="24"/>
        </w:rPr>
        <w:t xml:space="preserve"> or by listing all exe</w:t>
      </w:r>
      <w:r>
        <w:rPr>
          <w:rFonts w:ascii="Arial" w:hAnsi="Arial" w:cs="Arial"/>
          <w:sz w:val="24"/>
          <w:szCs w:val="24"/>
        </w:rPr>
        <w:t>mptions on one form ‘</w:t>
      </w:r>
      <w:r w:rsidRPr="007143D6">
        <w:rPr>
          <w:rFonts w:ascii="Arial" w:hAnsi="Arial" w:cs="Arial"/>
          <w:sz w:val="24"/>
          <w:szCs w:val="24"/>
        </w:rPr>
        <w:t>Preschool Exemption and Fee Relief</w:t>
      </w:r>
      <w:r>
        <w:rPr>
          <w:rFonts w:ascii="Arial" w:hAnsi="Arial" w:cs="Arial"/>
          <w:sz w:val="24"/>
          <w:szCs w:val="24"/>
        </w:rPr>
        <w:t>’</w:t>
      </w:r>
      <w:r w:rsidRPr="007143D6">
        <w:rPr>
          <w:rFonts w:ascii="Arial" w:hAnsi="Arial" w:cs="Arial"/>
          <w:sz w:val="24"/>
          <w:szCs w:val="24"/>
        </w:rPr>
        <w:t>. These forms are retained by the school.</w:t>
      </w:r>
    </w:p>
    <w:p w14:paraId="7D1F0C8D" w14:textId="77777777" w:rsidR="00D913C8" w:rsidRDefault="00D913C8" w:rsidP="00D913C8">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Where fees are outstanding, the Principal should make contact with the parent within one month to work out a plan for fee recovery.</w:t>
      </w:r>
    </w:p>
    <w:p w14:paraId="66F5C1F7" w14:textId="62F1A29C" w:rsidR="00D913C8" w:rsidRPr="00D913C8" w:rsidRDefault="00D913C8" w:rsidP="00D913C8">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Failure to settle outstanding fees may jeopardise the child’s position and the consideration for enrolment of siblings in the future.</w:t>
      </w:r>
    </w:p>
    <w:p w14:paraId="1D6DC3A6" w14:textId="5982D4E9" w:rsidR="007143D6" w:rsidRPr="00C80343" w:rsidRDefault="001C5E7D" w:rsidP="00CA4B0A">
      <w:pPr>
        <w:pStyle w:val="ListParagraph"/>
        <w:numPr>
          <w:ilvl w:val="0"/>
          <w:numId w:val="3"/>
        </w:numPr>
        <w:autoSpaceDE w:val="0"/>
        <w:autoSpaceDN w:val="0"/>
        <w:adjustRightInd w:val="0"/>
        <w:spacing w:after="0" w:line="240" w:lineRule="auto"/>
        <w:rPr>
          <w:rFonts w:ascii="Arial" w:hAnsi="Arial" w:cs="Arial"/>
          <w:sz w:val="24"/>
          <w:szCs w:val="24"/>
        </w:rPr>
      </w:pPr>
      <w:r w:rsidRPr="00C80343">
        <w:rPr>
          <w:rFonts w:ascii="Arial" w:eastAsia="Arial Unicode MS" w:hAnsi="Arial" w:cs="Arial"/>
          <w:sz w:val="24"/>
          <w:szCs w:val="24"/>
        </w:rPr>
        <w:t>Each family is invoice</w:t>
      </w:r>
      <w:r w:rsidR="00D913C8">
        <w:rPr>
          <w:rFonts w:ascii="Arial" w:eastAsia="Arial Unicode MS" w:hAnsi="Arial" w:cs="Arial"/>
          <w:sz w:val="24"/>
          <w:szCs w:val="24"/>
        </w:rPr>
        <w:t>d at the start of every term</w:t>
      </w:r>
      <w:r w:rsidRPr="00C80343">
        <w:rPr>
          <w:rFonts w:ascii="Arial" w:eastAsia="Arial Unicode MS" w:hAnsi="Arial" w:cs="Arial"/>
          <w:sz w:val="24"/>
          <w:szCs w:val="24"/>
        </w:rPr>
        <w:t>.</w:t>
      </w:r>
    </w:p>
    <w:p w14:paraId="16F76CCE" w14:textId="77777777" w:rsidR="007143D6" w:rsidRPr="00C80343" w:rsidRDefault="007143D6" w:rsidP="00CA4B0A">
      <w:pPr>
        <w:pStyle w:val="ListParagraph"/>
        <w:numPr>
          <w:ilvl w:val="0"/>
          <w:numId w:val="3"/>
        </w:numPr>
        <w:autoSpaceDE w:val="0"/>
        <w:autoSpaceDN w:val="0"/>
        <w:adjustRightInd w:val="0"/>
        <w:spacing w:after="0" w:line="240" w:lineRule="auto"/>
        <w:rPr>
          <w:rFonts w:ascii="Arial" w:hAnsi="Arial" w:cs="Arial"/>
          <w:sz w:val="24"/>
          <w:szCs w:val="24"/>
        </w:rPr>
      </w:pPr>
      <w:r w:rsidRPr="00C80343">
        <w:rPr>
          <w:rFonts w:ascii="Arial" w:hAnsi="Arial" w:cs="Arial"/>
          <w:sz w:val="24"/>
          <w:szCs w:val="24"/>
        </w:rPr>
        <w:lastRenderedPageBreak/>
        <w:t>For a preschool child covered by a current health care card on the first day of each term the school should invoice the whole term at the health care card rate, irrespective of the expiry date.  The new card should be viewed before the start of the next term</w:t>
      </w:r>
      <w:r w:rsidR="00C80343">
        <w:rPr>
          <w:rFonts w:ascii="Arial" w:hAnsi="Arial" w:cs="Arial"/>
          <w:sz w:val="24"/>
          <w:szCs w:val="24"/>
        </w:rPr>
        <w:t>. Staff need to ensure the Health Care Card is current.</w:t>
      </w:r>
    </w:p>
    <w:p w14:paraId="2D15E8D6" w14:textId="77777777" w:rsidR="00F52380" w:rsidRPr="00C80343" w:rsidRDefault="007143D6" w:rsidP="007143D6">
      <w:pPr>
        <w:pStyle w:val="ListParagraph"/>
        <w:numPr>
          <w:ilvl w:val="0"/>
          <w:numId w:val="3"/>
        </w:numPr>
        <w:autoSpaceDE w:val="0"/>
        <w:autoSpaceDN w:val="0"/>
        <w:adjustRightInd w:val="0"/>
        <w:spacing w:after="0" w:line="240" w:lineRule="auto"/>
        <w:rPr>
          <w:rFonts w:ascii="Arial" w:hAnsi="Arial" w:cs="Arial"/>
          <w:sz w:val="24"/>
          <w:szCs w:val="24"/>
        </w:rPr>
      </w:pPr>
      <w:r w:rsidRPr="007143D6">
        <w:rPr>
          <w:rFonts w:ascii="Arial" w:eastAsia="Arial Unicode MS" w:hAnsi="Arial" w:cs="Arial"/>
          <w:sz w:val="24"/>
          <w:szCs w:val="24"/>
        </w:rPr>
        <w:t xml:space="preserve">If a child is absent due to sickness or holidays they will be charged for the days that they are enrolled. </w:t>
      </w:r>
    </w:p>
    <w:p w14:paraId="1C3FAAF2" w14:textId="50CE280A" w:rsidR="008E56A3" w:rsidRPr="007143D6" w:rsidRDefault="008E56A3" w:rsidP="007143D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eastAsia="Arial Unicode MS" w:hAnsi="Arial" w:cs="Arial"/>
          <w:sz w:val="24"/>
          <w:szCs w:val="24"/>
        </w:rPr>
        <w:t>The Approved Provider (Department</w:t>
      </w:r>
      <w:r w:rsidR="001C5E7D">
        <w:rPr>
          <w:rFonts w:ascii="Arial" w:eastAsia="Arial Unicode MS" w:hAnsi="Arial" w:cs="Arial"/>
          <w:sz w:val="24"/>
          <w:szCs w:val="24"/>
        </w:rPr>
        <w:t xml:space="preserve"> of Education) of Koonawarra</w:t>
      </w:r>
      <w:r>
        <w:rPr>
          <w:rFonts w:ascii="Arial" w:eastAsia="Arial Unicode MS" w:hAnsi="Arial" w:cs="Arial"/>
          <w:sz w:val="24"/>
          <w:szCs w:val="24"/>
        </w:rPr>
        <w:t xml:space="preserve"> Preschool must inform the Nominated Supervisor at least 14 days before making any changes that will affect the fees charged or the way in which fees are collected. This information must be passed onto families at l</w:t>
      </w:r>
      <w:r w:rsidR="00D913C8">
        <w:rPr>
          <w:rFonts w:ascii="Arial" w:eastAsia="Arial Unicode MS" w:hAnsi="Arial" w:cs="Arial"/>
          <w:sz w:val="24"/>
          <w:szCs w:val="24"/>
        </w:rPr>
        <w:t>east 14 days before change are implemented in the preschool.</w:t>
      </w:r>
    </w:p>
    <w:sectPr w:rsidR="008E56A3" w:rsidRPr="007143D6" w:rsidSect="00C80343">
      <w:headerReference w:type="even" r:id="rId17"/>
      <w:headerReference w:type="default" r:id="rId18"/>
      <w:footerReference w:type="even" r:id="rId19"/>
      <w:footerReference w:type="default" r:id="rId20"/>
      <w:headerReference w:type="first" r:id="rId21"/>
      <w:footerReference w:type="first" r:id="rId22"/>
      <w:pgSz w:w="11906" w:h="16838"/>
      <w:pgMar w:top="788" w:right="1134"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6E19D" w14:textId="77777777" w:rsidR="00E84354" w:rsidRDefault="00E84354">
      <w:pPr>
        <w:spacing w:after="0" w:line="240" w:lineRule="auto"/>
      </w:pPr>
      <w:r>
        <w:separator/>
      </w:r>
    </w:p>
  </w:endnote>
  <w:endnote w:type="continuationSeparator" w:id="0">
    <w:p w14:paraId="305BBB5D" w14:textId="77777777" w:rsidR="00E84354" w:rsidRDefault="00E8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lkboard">
    <w:altName w:val="Calibri"/>
    <w:panose1 w:val="03050602040202020205"/>
    <w:charset w:val="4D"/>
    <w:family w:val="script"/>
    <w:pitch w:val="variable"/>
    <w:sig w:usb0="8000002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1261" w14:textId="77777777" w:rsidR="00D913C8" w:rsidRDefault="00D91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CFF8" w14:textId="15C1A9A7" w:rsidR="00F52380" w:rsidRDefault="00EE7655">
    <w:pPr>
      <w:tabs>
        <w:tab w:val="center" w:pos="4513"/>
        <w:tab w:val="right" w:pos="9026"/>
      </w:tabs>
      <w:spacing w:after="0" w:line="240" w:lineRule="auto"/>
      <w:rPr>
        <w:sz w:val="20"/>
        <w:szCs w:val="20"/>
      </w:rPr>
    </w:pPr>
    <w:r>
      <w:rPr>
        <w:sz w:val="20"/>
        <w:szCs w:val="20"/>
      </w:rPr>
      <w:t>NSW Department of Educati</w:t>
    </w:r>
    <w:r w:rsidR="000C445C">
      <w:rPr>
        <w:sz w:val="20"/>
        <w:szCs w:val="20"/>
      </w:rPr>
      <w:t>on</w:t>
    </w:r>
  </w:p>
  <w:p w14:paraId="2F7C470B" w14:textId="77777777" w:rsidR="00F52380" w:rsidRDefault="00F52380">
    <w:pPr>
      <w:tabs>
        <w:tab w:val="center" w:pos="4513"/>
        <w:tab w:val="right" w:pos="9026"/>
      </w:tabs>
      <w:spacing w:after="284"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BF63" w14:textId="77777777" w:rsidR="00D913C8" w:rsidRDefault="00D91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3195" w14:textId="77777777" w:rsidR="00E84354" w:rsidRDefault="00E84354">
      <w:pPr>
        <w:spacing w:after="0" w:line="240" w:lineRule="auto"/>
      </w:pPr>
      <w:r>
        <w:separator/>
      </w:r>
    </w:p>
  </w:footnote>
  <w:footnote w:type="continuationSeparator" w:id="0">
    <w:p w14:paraId="294B3880" w14:textId="77777777" w:rsidR="00E84354" w:rsidRDefault="00E84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42FE" w14:textId="77777777" w:rsidR="00D913C8" w:rsidRDefault="00D91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22" w14:textId="77777777" w:rsidR="00D913C8" w:rsidRDefault="00D91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3CD2" w14:textId="77777777" w:rsidR="00D913C8" w:rsidRDefault="00D91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97DB0"/>
    <w:multiLevelType w:val="hybridMultilevel"/>
    <w:tmpl w:val="CAC46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75287"/>
    <w:multiLevelType w:val="hybridMultilevel"/>
    <w:tmpl w:val="83003E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5C04726"/>
    <w:multiLevelType w:val="multilevel"/>
    <w:tmpl w:val="876A71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9384BC3"/>
    <w:multiLevelType w:val="hybridMultilevel"/>
    <w:tmpl w:val="69F0A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380"/>
    <w:rsid w:val="00085515"/>
    <w:rsid w:val="000C445C"/>
    <w:rsid w:val="000D2263"/>
    <w:rsid w:val="00194E72"/>
    <w:rsid w:val="001C5E7D"/>
    <w:rsid w:val="002D0687"/>
    <w:rsid w:val="004511D5"/>
    <w:rsid w:val="00591C65"/>
    <w:rsid w:val="00680AFC"/>
    <w:rsid w:val="007143D6"/>
    <w:rsid w:val="007938E3"/>
    <w:rsid w:val="00813E60"/>
    <w:rsid w:val="008B4B08"/>
    <w:rsid w:val="008D7C92"/>
    <w:rsid w:val="008E56A3"/>
    <w:rsid w:val="00A01078"/>
    <w:rsid w:val="00A1785A"/>
    <w:rsid w:val="00A85BF0"/>
    <w:rsid w:val="00AA42C3"/>
    <w:rsid w:val="00B8646A"/>
    <w:rsid w:val="00C75005"/>
    <w:rsid w:val="00C80343"/>
    <w:rsid w:val="00CA4B0A"/>
    <w:rsid w:val="00CE56D1"/>
    <w:rsid w:val="00D913C8"/>
    <w:rsid w:val="00E8429A"/>
    <w:rsid w:val="00E84354"/>
    <w:rsid w:val="00EE7655"/>
    <w:rsid w:val="00F01598"/>
    <w:rsid w:val="00F3792B"/>
    <w:rsid w:val="00F52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B56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91C65"/>
    <w:pPr>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CE56D1"/>
    <w:rPr>
      <w:color w:val="0563C1" w:themeColor="hyperlink"/>
      <w:u w:val="single"/>
    </w:rPr>
  </w:style>
  <w:style w:type="paragraph" w:styleId="BalloonText">
    <w:name w:val="Balloon Text"/>
    <w:basedOn w:val="Normal"/>
    <w:link w:val="BalloonTextChar"/>
    <w:uiPriority w:val="99"/>
    <w:semiHidden/>
    <w:unhideWhenUsed/>
    <w:rsid w:val="00CA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0A"/>
    <w:rPr>
      <w:rFonts w:ascii="Tahoma" w:hAnsi="Tahoma" w:cs="Tahoma"/>
      <w:sz w:val="16"/>
      <w:szCs w:val="16"/>
    </w:rPr>
  </w:style>
  <w:style w:type="paragraph" w:styleId="Header">
    <w:name w:val="header"/>
    <w:basedOn w:val="Normal"/>
    <w:link w:val="HeaderChar"/>
    <w:uiPriority w:val="99"/>
    <w:unhideWhenUsed/>
    <w:rsid w:val="000C4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5C"/>
  </w:style>
  <w:style w:type="paragraph" w:styleId="Footer">
    <w:name w:val="footer"/>
    <w:basedOn w:val="Normal"/>
    <w:link w:val="FooterChar"/>
    <w:uiPriority w:val="99"/>
    <w:unhideWhenUsed/>
    <w:rsid w:val="000C4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5C"/>
  </w:style>
  <w:style w:type="character" w:styleId="UnresolvedMention">
    <w:name w:val="Unresolved Mention"/>
    <w:basedOn w:val="DefaultParagraphFont"/>
    <w:uiPriority w:val="99"/>
    <w:rsid w:val="00A85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cation.nsw.gov.au/policy-library/policies/preschool-class-fees-in-government-school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education.nsw.gov.au/policy-library/associated-documents/School-complaint-procedure_AC.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choolsequella.det.nsw.edu.au/file/1e1de31f-e243-4252-b642-a57fa437c4af/1/preschool-notifcations.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olicy-library/policies/complaints-handling-poli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et.nsw.edu.au/policies/general_man/complaints/resp_sugg/April2011_Complaints%20Handling%20Policy%20guidelines.pdf" TargetMode="External"/><Relationship Id="rId23" Type="http://schemas.openxmlformats.org/officeDocument/2006/relationships/fontTable" Target="fontTable.xml"/><Relationship Id="rId10" Type="http://schemas.openxmlformats.org/officeDocument/2006/relationships/hyperlink" Target="https://www.legislation.nsw.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s://education.nsw.gov.au/policy-library/related-documents/Preschool_fees_faqs.do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Victoria</dc:creator>
  <cp:lastModifiedBy>Carol Williams</cp:lastModifiedBy>
  <cp:revision>10</cp:revision>
  <cp:lastPrinted>2018-07-23T02:45:00Z</cp:lastPrinted>
  <dcterms:created xsi:type="dcterms:W3CDTF">2017-05-30T05:42:00Z</dcterms:created>
  <dcterms:modified xsi:type="dcterms:W3CDTF">2018-07-23T02:45:00Z</dcterms:modified>
</cp:coreProperties>
</file>