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46AE4571" w14:textId="43CBBE4A" w:rsidR="00527DE0" w:rsidRDefault="00527DE0" w:rsidP="00527D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firstLine="284"/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ACE34" wp14:editId="462A3AA5">
                <wp:simplePos x="0" y="0"/>
                <wp:positionH relativeFrom="column">
                  <wp:posOffset>1383030</wp:posOffset>
                </wp:positionH>
                <wp:positionV relativeFrom="paragraph">
                  <wp:posOffset>417830</wp:posOffset>
                </wp:positionV>
                <wp:extent cx="3314700" cy="657860"/>
                <wp:effectExtent l="0" t="0" r="3810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5B12" w14:textId="77777777" w:rsidR="00527DE0" w:rsidRPr="000A7AC4" w:rsidRDefault="00527DE0" w:rsidP="00527DE0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0A7AC4">
                              <w:rPr>
                                <w:rFonts w:ascii="Chalkboard" w:hAnsi="Chalkboard"/>
                                <w:sz w:val="32"/>
                              </w:rPr>
                              <w:t>KOONAWARRA PUBLIC SCHOOL PRESCHOOL</w:t>
                            </w:r>
                          </w:p>
                          <w:p w14:paraId="2706B082" w14:textId="77777777" w:rsidR="00527DE0" w:rsidRPr="000A7AC4" w:rsidRDefault="00527DE0" w:rsidP="00527DE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AACE3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9pt;margin-top:32.9pt;width:261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X5fisCAABQBAAADgAAAGRycy9lMm9Eb2MueG1srFTbbtswDH0fsH8Q9L7YSZM0NeIUXboMA7oL&#10;0O4DZFm2hUmiJimxs68fJadZ0G0vw/wgiCJ1RJ5Den07aEUOwnkJpqTTSU6JMBxqadqSfn3avVlR&#10;4gMzNVNgREmPwtPbzetX694WYgYdqFo4giDGF70taReCLbLM805o5idghUFnA06zgKZrs9qxHtG1&#10;ymZ5vsx6cLV1wIX3eHo/Oukm4TeN4OFz03gRiCop5hbS6tJaxTXbrFnROmY7yU9psH/IQjNp8NEz&#10;1D0LjOyd/A1KS+7AQxMmHHQGTSO5SDVgNdP8RTWPHbMi1YLkeHumyf8/WP7p8MURWZd0QYlhGiV6&#10;EkMgb2Egs8hOb32BQY8Ww8KAx6hyqtTbB+DfPDGw7ZhpxZ1z0HeC1ZjdNN7MLq6OOD6CVP1HqPEZ&#10;tg+QgIbG6UgdkkEQHVU6npWJqXA8vLqazq9zdHH0LRfXq2WSLmPF823rfHgvQJO4KalD5RM6Ozz4&#10;ELNhxXNIfMyDkvVOKpUM11Zb5ciBYZfs0pcKeBGmDOlLerOYLUYC/gqRp+9PEFoGbHcldUlX5yBW&#10;RNremTo1Y2BSjXtMWZkTj5G6kcQwVMNJlwrqIzLqYGxrHEPcdOB+UNJjS5fUf98zJyhRHwyqcjOd&#10;z+MMJGO+uJ6h4S491aWHGY5QJQ2UjNttGOdmb51sO3xp7AMDd6hkIxPJUfIxq1Pe2LaJ+9OIxbm4&#10;tFPUrx/B5icAAAD//wMAUEsDBBQABgAIAAAAIQC5l58L4AAAAAoBAAAPAAAAZHJzL2Rvd25yZXYu&#10;eG1sTI9NT8MwDIbvSPyHyEhcEEv3QbuWphNCArEbDATXrPHaisYpSdaVf485wcm2/Oj143Iz2V6M&#10;6EPnSMF8loBAqp3pqFHw9vpwvQYRoiaje0eo4BsDbKrzs1IXxp3oBcddbASHUCi0gjbGoZAy1C1a&#10;HWZuQOLdwXmrI4++kcbrE4fbXi6SJJVWd8QXWj3gfYv15+5oFaxXT+NH2C6f3+v00OfxKhsfv7xS&#10;lxfT3S2IiFP8g+FXn9WhYqe9O5IJolewmGesHhWkN1wZyJY5N3sm03wFsirl/xeqHwAAAP//AwBQ&#10;SwECLQAUAAYACAAAACEA5JnDwPsAAADhAQAAEwAAAAAAAAAAAAAAAAAAAAAAW0NvbnRlbnRfVHlw&#10;ZXNdLnhtbFBLAQItABQABgAIAAAAIQAjsmrh1wAAAJQBAAALAAAAAAAAAAAAAAAAACwBAABfcmVs&#10;cy8ucmVsc1BLAQItABQABgAIAAAAIQA/lfl+KwIAAFAEAAAOAAAAAAAAAAAAAAAAACwCAABkcnMv&#10;ZTJvRG9jLnhtbFBLAQItABQABgAIAAAAIQC5l58L4AAAAAoBAAAPAAAAAAAAAAAAAAAAAIMEAABk&#10;cnMvZG93bnJldi54bWxQSwUGAAAAAAQABADzAAAAkAUAAAAA&#10;">
                <v:textbox>
                  <w:txbxContent>
                    <w:p w14:paraId="6A645B12" w14:textId="77777777" w:rsidR="00527DE0" w:rsidRPr="000A7AC4" w:rsidRDefault="00527DE0" w:rsidP="00527DE0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0A7AC4">
                        <w:rPr>
                          <w:rFonts w:ascii="Chalkboard" w:hAnsi="Chalkboard"/>
                          <w:sz w:val="32"/>
                        </w:rPr>
                        <w:t>KOONAWARRA PUBLIC SCHOOL PRESCHOOL</w:t>
                      </w:r>
                    </w:p>
                    <w:p w14:paraId="2706B082" w14:textId="77777777" w:rsidR="00527DE0" w:rsidRPr="000A7AC4" w:rsidRDefault="00527DE0" w:rsidP="00527DE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val="en-US" w:eastAsia="en-US"/>
        </w:rPr>
        <w:drawing>
          <wp:inline distT="0" distB="0" distL="0" distR="0" wp14:anchorId="270A6DF3" wp14:editId="5628BD6C">
            <wp:extent cx="1308100" cy="1384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73F7C746" wp14:editId="03A4CFFB">
            <wp:extent cx="1485900" cy="14732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C5B6" w14:textId="18C752D9" w:rsidR="004D78EB" w:rsidRDefault="00527DE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F663032" wp14:editId="5D6D43B7">
                <wp:simplePos x="0" y="0"/>
                <wp:positionH relativeFrom="margin">
                  <wp:posOffset>702310</wp:posOffset>
                </wp:positionH>
                <wp:positionV relativeFrom="paragraph">
                  <wp:posOffset>165100</wp:posOffset>
                </wp:positionV>
                <wp:extent cx="4572635" cy="472440"/>
                <wp:effectExtent l="0" t="0" r="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85BE5F" w14:textId="777D3B06" w:rsidR="004D78EB" w:rsidRDefault="00527DE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 xml:space="preserve"> </w:t>
                            </w:r>
                            <w:r w:rsidR="001D33FA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>(e) Emergency and Evacuation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663032" id="Rectangle 2" o:spid="_x0000_s1027" style="position:absolute;margin-left:55.3pt;margin-top:13pt;width:360.0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4uE88BAACPAwAADgAAAGRycy9lMm9Eb2MueG1srFPbbtswDH0fsH8Q9L7Y8dx2NeIUQ4sMA4at&#10;WLcPkGXJFqDbKCV2/n6UnKbZ+jbMDzIpUuQ5R9TmbjaaHAQE5WxL16uSEmG565UdWvrzx+7dB0pC&#10;ZLZn2lnR0qMI9G779s1m8o2o3Oh0L4BgERuaybd0jNE3RRH4KAwLK+eFxaB0YFhEF4aiBzZhdaOL&#10;qiyvi8lB78FxEQLuPixBus31pRQ8fpMyiEh0SxFbzCvktUtrsd2wZgDmR8VPMNg/oDBMWWx6LvXA&#10;IiN7UK9KGcXBBSfjijtTOCkVF5kDslmXf7F5GpkXmQuKE/xZpvD/yvKvh0cgqm9pRYllBq/oO4rG&#10;7KAFqZI8kw8NZj35Rzh5Ac3EdZZg0h9ZkDlLejxLKuZIOG7WVzfV9fsrSjjG6puqrrPmxctpDyF+&#10;Es6QZLQUsHtWkh2+hIgdMfU5JTULTqt+p7TODgzdvQZyYHi9u/wlyHjkjzRtU7J16dgSTjtFYrZw&#10;SVacuzkLsX5m3bn+iOJMOB0tDb/2DAQl+rNF+W/XdYWkYnaQY4mzBZeR7jLCLB8dDl2kZDHvYx7B&#10;BdXHfXRSZaoJx9L1BA9vPdM5TWgaq0s/Z728o+1vAAAA//8DAFBLAwQUAAYACAAAACEAW8URCN0A&#10;AAAKAQAADwAAAGRycy9kb3ducmV2LnhtbEyPQUvDQBSE74L/YXmCN7vbWmNIsylS8CaIqWKPm+wz&#10;Cc2+DdlNGv+9z5Mehxlmvsn3i+vFjGPoPGlYrxQIpNrbjhoN78fnuxREiIas6T2hhm8MsC+ur3KT&#10;WX+hN5zL2AguoZAZDW2MQyZlqFt0Jqz8gMTelx+diSzHRtrRXLjc9XKjVCKd6YgXWjPgocX6XE5O&#10;Qz+r7cdn9XBKy67Bl/MyH/z0qvXtzfK0AxFxiX9h+MVndCiYqfIT2SB61muVcFTDJuFPHEjv1SOI&#10;ih2ltiCLXP6/UPwAAAD//wMAUEsBAi0AFAAGAAgAAAAhAOSZw8D7AAAA4QEAABMAAAAAAAAAAAAA&#10;AAAAAAAAAFtDb250ZW50X1R5cGVzXS54bWxQSwECLQAUAAYACAAAACEAI7Jq4dcAAACUAQAACwAA&#10;AAAAAAAAAAAAAAAsAQAAX3JlbHMvLnJlbHNQSwECLQAUAAYACAAAACEAmE4uE88BAACPAwAADgAA&#10;AAAAAAAAAAAAAAAsAgAAZHJzL2Uyb0RvYy54bWxQSwECLQAUAAYACAAAACEAW8URCN0AAAAKAQAA&#10;DwAAAAAAAAAAAAAAAAAnBAAAZHJzL2Rvd25yZXYueG1sUEsFBgAAAAAEAAQA8wAAADEFAAAAAA==&#10;" o:allowincell="f" stroked="f">
                <v:textbox inset="91425emu,45700emu,91425emu,45700emu">
                  <w:txbxContent>
                    <w:p w14:paraId="4985BE5F" w14:textId="777D3B06" w:rsidR="004D78EB" w:rsidRDefault="00527DE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44"/>
                        </w:rPr>
                        <w:t xml:space="preserve"> </w:t>
                      </w:r>
                      <w:r w:rsidR="001D33FA">
                        <w:rPr>
                          <w:rFonts w:ascii="Arial" w:eastAsia="Arial" w:hAnsi="Arial" w:cs="Arial"/>
                          <w:b/>
                          <w:color w:val="548DD4"/>
                          <w:sz w:val="44"/>
                        </w:rPr>
                        <w:t>(e) Emergency and Evacuation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33FA">
        <w:rPr>
          <w:b/>
          <w:sz w:val="28"/>
          <w:szCs w:val="28"/>
        </w:rPr>
        <w:t xml:space="preserve"> </w:t>
      </w:r>
    </w:p>
    <w:p w14:paraId="1031B65B" w14:textId="427A39B7" w:rsidR="004D78EB" w:rsidRDefault="001D33FA">
      <w:r>
        <w:t xml:space="preserve"> </w:t>
      </w:r>
    </w:p>
    <w:p w14:paraId="5E2D6F5D" w14:textId="77777777" w:rsidR="004D78EB" w:rsidRDefault="001D33F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D66EFB1" wp14:editId="71065669">
                <wp:simplePos x="0" y="0"/>
                <wp:positionH relativeFrom="margin">
                  <wp:posOffset>7505700</wp:posOffset>
                </wp:positionH>
                <wp:positionV relativeFrom="paragraph">
                  <wp:posOffset>-444499</wp:posOffset>
                </wp:positionV>
                <wp:extent cx="2514600" cy="698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432337"/>
                          <a:ext cx="2514599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>
                          <a:solidFill>
                            <a:srgbClr val="FFCC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1274F5" w14:textId="77777777" w:rsidR="004D78EB" w:rsidRDefault="001D33F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Forbes Street Woolloomooloo 2013 </w:t>
                            </w:r>
                          </w:p>
                          <w:p w14:paraId="0D1D8A83" w14:textId="77777777" w:rsidR="004D78EB" w:rsidRDefault="001D33F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T: 9358 5335/6  </w:t>
                            </w:r>
                          </w:p>
                          <w:p w14:paraId="41577D36" w14:textId="77777777" w:rsidR="004D78EB" w:rsidRDefault="001D33F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F: 93571831  </w:t>
                            </w:r>
                          </w:p>
                          <w:p w14:paraId="546B4E3E" w14:textId="77777777" w:rsidR="004D78EB" w:rsidRDefault="001D33F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>E: plunketstr-p.school@det.nsw.edu.au</w:t>
                            </w:r>
                          </w:p>
                          <w:p w14:paraId="33A58142" w14:textId="77777777" w:rsidR="004D78EB" w:rsidRDefault="004D78EB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" o:spid="_x0000_s1028" style="position:absolute;margin-left:591pt;margin-top:-35pt;width:198pt;height: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POEQIAADIEAAAOAAAAZHJzL2Uyb0RvYy54bWysU02P0zAQvSPxHyzfadKk2W2ipntoKUJC&#10;sGLhB7i2k1jyl2zTpP+esdPdbYEDQlycmfj5+c0bz+ZhUhKduPPC6BYvFzlGXFPDhO5b/P3b4d0a&#10;Ix+IZkQazVt85h4/bN++2Yy24YUZjGTcISDRvhlti4cQbJNlng5cEb8wlmvY7IxTJEDq+ow5MgK7&#10;klmR53fZaByzzlDuPfzdz5t4m/i7jtPwpes8D0i2GLSFtLq0HuOabTek6R2xg6AXGeQfVCgiNFz6&#10;QrUngaAfTvxGpQR1xpsuLKhRmek6QXmqAapZ5r9U8zQQy1MtYI63Lzb5/0dLP58eHRKsxSVGmiho&#10;0VcwjeheclRGe0brG0A92Ud3yTyEsdapcyp+oQo0tXiVr9f3OZh8BrJVWZTl/WwvnwKiACiq5aqq&#10;a4woIO7qqiyqCMhemazz4QM3CsWgxQ6UJFfJ6ZMPM/QZEi/2Rgp2EFKmxPXHnXToRKDVh0Ndg5T5&#10;yA1MajS2uK7gbkQJvLhOkgChsuCB13267+aEvyXe7f5MHIXtiR9mAYlhLl+JwB0oIc3ACXuvGQpn&#10;Cz5rGAgcxSjOMJIc5idGCRmIkH+DBO+kBgtjk+a2xChMxyn1tIhs8c/RsDP0WX7U8Hbq5SpWH1Ky&#10;qlLP3PXO8XqHaDoYmBgwaQ53Ic1P9DZSw8NMPbwMUXz513lCvY769icAAAD//wMAUEsDBBQABgAI&#10;AAAAIQCg490d3wAAAAwBAAAPAAAAZHJzL2Rvd25yZXYueG1sTE/LTsMwELwj8Q/WInFBrZMKmijE&#10;qVAlDtATBani5sZLHDVeh9hpA1/P9lRuM7ujeZSryXXiiENoPSlI5wkIpNqblhoFH+/PsxxEiJqM&#10;7jyhgh8MsKqur0pdGH+iNzxuYyPYhEKhFdgY+0LKUFt0Osx9j8S/Lz84HZkOjTSDPrG56+QiSZbS&#10;6ZY4weoe1xbrw3Z0nJvakB12693d7/j6/fmy3BjpN0rd3kxPjyAiTvEihnN9rg4Vd9r7kUwQHfM0&#10;X/CYqGCWJQzOkocsZ7RXcM8XWZXy/4jqDwAA//8DAFBLAQItABQABgAIAAAAIQC2gziS/gAAAOEB&#10;AAATAAAAAAAAAAAAAAAAAAAAAABbQ29udGVudF9UeXBlc10ueG1sUEsBAi0AFAAGAAgAAAAhADj9&#10;If/WAAAAlAEAAAsAAAAAAAAAAAAAAAAALwEAAF9yZWxzLy5yZWxzUEsBAi0AFAAGAAgAAAAhACKa&#10;484RAgAAMgQAAA4AAAAAAAAAAAAAAAAALgIAAGRycy9lMm9Eb2MueG1sUEsBAi0AFAAGAAgAAAAh&#10;AKDj3R3fAAAADAEAAA8AAAAAAAAAAAAAAAAAawQAAGRycy9kb3ducmV2LnhtbFBLBQYAAAAABAAE&#10;APMAAAB3BQAAAAA=&#10;" o:allowincell="f" fillcolor="#f90" strokecolor="#fc0">
                <v:textbox inset="2.53958mm,1.2694mm,2.53958mm,1.2694mm">
                  <w:txbxContent>
                    <w:p w:rsidR="004D78EB" w:rsidRDefault="001D33F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Forbes Street Woolloomooloo 2013 </w:t>
                      </w:r>
                    </w:p>
                    <w:p w:rsidR="004D78EB" w:rsidRDefault="001D33F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T: 9358 5335/6  </w:t>
                      </w:r>
                    </w:p>
                    <w:p w:rsidR="004D78EB" w:rsidRDefault="001D33F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F: 93571831  </w:t>
                      </w:r>
                    </w:p>
                    <w:p w:rsidR="004D78EB" w:rsidRDefault="001D33F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>E: plunketstr-p.school@det.nsw.edu.au</w:t>
                      </w:r>
                    </w:p>
                    <w:p w:rsidR="004D78EB" w:rsidRDefault="004D78EB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78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221"/>
      </w:tblGrid>
      <w:tr w:rsidR="004D78EB" w14:paraId="4574EC49" w14:textId="77777777">
        <w:tc>
          <w:tcPr>
            <w:tcW w:w="1560" w:type="dxa"/>
          </w:tcPr>
          <w:p w14:paraId="1016265E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8221" w:type="dxa"/>
          </w:tcPr>
          <w:p w14:paraId="3CCAA6FC" w14:textId="77777777" w:rsidR="004D78EB" w:rsidRPr="00536D8E" w:rsidRDefault="001D33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6D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F6C7F" w:rsidRPr="00536D8E">
              <w:rPr>
                <w:rFonts w:ascii="Arial" w:eastAsia="Arial" w:hAnsi="Arial" w:cs="Arial"/>
                <w:sz w:val="20"/>
                <w:szCs w:val="20"/>
              </w:rPr>
              <w:t>30/03/2017</w:t>
            </w:r>
          </w:p>
        </w:tc>
      </w:tr>
      <w:tr w:rsidR="004D78EB" w14:paraId="5787EEF7" w14:textId="77777777">
        <w:tc>
          <w:tcPr>
            <w:tcW w:w="1560" w:type="dxa"/>
          </w:tcPr>
          <w:p w14:paraId="31998516" w14:textId="77777777" w:rsidR="004D78EB" w:rsidRDefault="001D33F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Next Review</w:t>
            </w:r>
          </w:p>
        </w:tc>
        <w:tc>
          <w:tcPr>
            <w:tcW w:w="8221" w:type="dxa"/>
          </w:tcPr>
          <w:p w14:paraId="69936B4A" w14:textId="77777777" w:rsidR="004D78EB" w:rsidRPr="00536D8E" w:rsidRDefault="008F6C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36D8E">
              <w:rPr>
                <w:rFonts w:ascii="Arial" w:eastAsia="Arial" w:hAnsi="Arial" w:cs="Arial"/>
                <w:sz w:val="20"/>
                <w:szCs w:val="20"/>
              </w:rPr>
              <w:t>March 2018</w:t>
            </w:r>
          </w:p>
        </w:tc>
      </w:tr>
      <w:tr w:rsidR="004D78EB" w14:paraId="66E676C4" w14:textId="77777777">
        <w:tc>
          <w:tcPr>
            <w:tcW w:w="1560" w:type="dxa"/>
          </w:tcPr>
          <w:p w14:paraId="14E767F4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Regulation(s)</w:t>
            </w:r>
          </w:p>
        </w:tc>
        <w:tc>
          <w:tcPr>
            <w:tcW w:w="8221" w:type="dxa"/>
          </w:tcPr>
          <w:p w14:paraId="0C8BB68A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R.97-98</w:t>
            </w:r>
          </w:p>
        </w:tc>
      </w:tr>
      <w:tr w:rsidR="004D78EB" w14:paraId="3336FB84" w14:textId="77777777">
        <w:tc>
          <w:tcPr>
            <w:tcW w:w="1560" w:type="dxa"/>
          </w:tcPr>
          <w:p w14:paraId="3267249B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National Quality Standard(s)</w:t>
            </w:r>
          </w:p>
        </w:tc>
        <w:tc>
          <w:tcPr>
            <w:tcW w:w="8221" w:type="dxa"/>
          </w:tcPr>
          <w:p w14:paraId="39F41B43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2.3.2 Every reasonable precaution is taken to protect children from harm and any hazard likely to cause injury</w:t>
            </w:r>
          </w:p>
          <w:p w14:paraId="64C6A1B8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2.3.3 Plans to effectively manage incidents and emergencies are developed in consultation with relevant authorities, practiced and implemented</w:t>
            </w:r>
          </w:p>
        </w:tc>
      </w:tr>
      <w:tr w:rsidR="004D78EB" w14:paraId="65CB7045" w14:textId="77777777">
        <w:tc>
          <w:tcPr>
            <w:tcW w:w="1560" w:type="dxa"/>
          </w:tcPr>
          <w:p w14:paraId="5F5BD177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Relevant DoE Policy and link</w:t>
            </w:r>
          </w:p>
        </w:tc>
        <w:tc>
          <w:tcPr>
            <w:tcW w:w="8221" w:type="dxa"/>
          </w:tcPr>
          <w:p w14:paraId="607FAC41" w14:textId="77777777" w:rsidR="00D37C7A" w:rsidRPr="00B13272" w:rsidRDefault="00F35D1D" w:rsidP="00D37C7A">
            <w:pPr>
              <w:spacing w:line="276" w:lineRule="auto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hyperlink r:id="rId10">
              <w:r w:rsidR="00D37C7A" w:rsidRPr="00B13272">
                <w:rPr>
                  <w:rFonts w:ascii="Arial" w:eastAsia="Arial" w:hAnsi="Arial" w:cs="Arial"/>
                  <w:color w:val="0000FF"/>
                  <w:u w:val="single"/>
                </w:rPr>
                <w:t>Emergency Management Procedures</w:t>
              </w:r>
            </w:hyperlink>
          </w:p>
          <w:p w14:paraId="1D001447" w14:textId="77777777" w:rsidR="00D37C7A" w:rsidRPr="00B13272" w:rsidRDefault="00D37C7A" w:rsidP="00D37C7A">
            <w:pPr>
              <w:spacing w:line="276" w:lineRule="auto"/>
              <w:outlineLvl w:val="0"/>
              <w:rPr>
                <w:rStyle w:val="Hyperlink"/>
                <w:rFonts w:ascii="Arial" w:eastAsia="Times New Roman" w:hAnsi="Arial" w:cs="Arial"/>
                <w:bCs/>
                <w:kern w:val="36"/>
              </w:rPr>
            </w:pPr>
          </w:p>
          <w:p w14:paraId="2716B964" w14:textId="77777777" w:rsidR="00D37C7A" w:rsidRPr="00B13272" w:rsidRDefault="00F35D1D" w:rsidP="00D37C7A">
            <w:pPr>
              <w:widowControl w:val="0"/>
              <w:rPr>
                <w:rFonts w:ascii="Arial" w:hAnsi="Arial" w:cs="Arial"/>
              </w:rPr>
            </w:pPr>
            <w:hyperlink r:id="rId11">
              <w:r w:rsidR="00D37C7A" w:rsidRPr="00B13272">
                <w:rPr>
                  <w:rFonts w:ascii="Arial" w:eastAsia="Arial" w:hAnsi="Arial" w:cs="Arial"/>
                  <w:color w:val="0000FF"/>
                  <w:u w:val="single"/>
                </w:rPr>
                <w:t>Reporting School accidents Policy PD/2002/0064/V04</w:t>
              </w:r>
            </w:hyperlink>
            <w:hyperlink r:id="rId12"/>
          </w:p>
          <w:p w14:paraId="2DD303C0" w14:textId="77777777" w:rsidR="00D37C7A" w:rsidRPr="00B13272" w:rsidRDefault="00D37C7A" w:rsidP="00D37C7A">
            <w:pPr>
              <w:widowControl w:val="0"/>
              <w:rPr>
                <w:rFonts w:ascii="Arial" w:hAnsi="Arial" w:cs="Arial"/>
              </w:rPr>
            </w:pPr>
            <w:r w:rsidRPr="00B13272">
              <w:rPr>
                <w:rFonts w:ascii="Arial" w:eastAsia="Arial" w:hAnsi="Arial" w:cs="Arial"/>
              </w:rPr>
              <w:t xml:space="preserve">Implementation Document: </w:t>
            </w:r>
            <w:hyperlink r:id="rId13">
              <w:r w:rsidRPr="00B13272">
                <w:rPr>
                  <w:rFonts w:ascii="Arial" w:eastAsia="Arial" w:hAnsi="Arial" w:cs="Arial"/>
                  <w:color w:val="0000FF"/>
                  <w:u w:val="single"/>
                </w:rPr>
                <w:t>Reporting School Accidents support document</w:t>
              </w:r>
            </w:hyperlink>
            <w:hyperlink r:id="rId14"/>
          </w:p>
          <w:p w14:paraId="1343AF19" w14:textId="77777777" w:rsidR="004D78EB" w:rsidRDefault="004D78EB">
            <w:pPr>
              <w:spacing w:line="276" w:lineRule="auto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26A11D76" w14:textId="77777777" w:rsidR="004D78EB" w:rsidRDefault="00F35D1D">
            <w:pPr>
              <w:spacing w:line="276" w:lineRule="auto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15"/>
          </w:p>
          <w:p w14:paraId="0DF4075F" w14:textId="77777777" w:rsidR="004D78EB" w:rsidRDefault="00F35D1D">
            <w:pPr>
              <w:spacing w:line="276" w:lineRule="auto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16"/>
          </w:p>
        </w:tc>
      </w:tr>
      <w:tr w:rsidR="004D78EB" w14:paraId="7C37347B" w14:textId="77777777">
        <w:tc>
          <w:tcPr>
            <w:tcW w:w="1560" w:type="dxa"/>
          </w:tcPr>
          <w:p w14:paraId="489F0013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Relevant School Procedure</w:t>
            </w:r>
          </w:p>
        </w:tc>
        <w:tc>
          <w:tcPr>
            <w:tcW w:w="8221" w:type="dxa"/>
          </w:tcPr>
          <w:p w14:paraId="16D2C028" w14:textId="5440B2CD" w:rsidR="004D78EB" w:rsidRDefault="00527DE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Koonawarra Public School Evacuation and Lockdown Procedures.</w:t>
            </w:r>
          </w:p>
          <w:p w14:paraId="2E227D8C" w14:textId="77777777" w:rsidR="004D78EB" w:rsidRDefault="004D78E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78EB" w14:paraId="14569F1B" w14:textId="77777777">
        <w:tc>
          <w:tcPr>
            <w:tcW w:w="1560" w:type="dxa"/>
          </w:tcPr>
          <w:p w14:paraId="6CE53D9B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DoE Preschool Handbook January 2016</w:t>
            </w:r>
          </w:p>
        </w:tc>
        <w:tc>
          <w:tcPr>
            <w:tcW w:w="8221" w:type="dxa"/>
          </w:tcPr>
          <w:p w14:paraId="317944F1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Wellbeing, page 42</w:t>
            </w:r>
          </w:p>
        </w:tc>
      </w:tr>
      <w:tr w:rsidR="004D78EB" w14:paraId="57EB33ED" w14:textId="77777777">
        <w:tc>
          <w:tcPr>
            <w:tcW w:w="1560" w:type="dxa"/>
          </w:tcPr>
          <w:p w14:paraId="5A228235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Key Resources</w:t>
            </w:r>
          </w:p>
        </w:tc>
        <w:tc>
          <w:tcPr>
            <w:tcW w:w="8221" w:type="dxa"/>
          </w:tcPr>
          <w:p w14:paraId="78EA1C51" w14:textId="77777777" w:rsidR="004D78EB" w:rsidRDefault="001D33FA">
            <w:pPr>
              <w:spacing w:line="276" w:lineRule="auto"/>
              <w:rPr>
                <w:rFonts w:ascii="Arial" w:eastAsia="Arial" w:hAnsi="Arial" w:cs="Arial"/>
                <w:color w:val="1E1A15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Emergency management  </w:t>
            </w:r>
          </w:p>
          <w:p w14:paraId="484D534D" w14:textId="77777777" w:rsidR="004D78EB" w:rsidRDefault="00F35D1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 w:rsidR="001D33FA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https://detwww.det.nsw.edu.au/workhealthandsafety/emergency-management</w:t>
              </w:r>
            </w:hyperlink>
            <w:hyperlink r:id="rId18"/>
          </w:p>
          <w:p w14:paraId="59817ED2" w14:textId="77777777" w:rsidR="004D78EB" w:rsidRDefault="00F35D1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9"/>
          </w:p>
        </w:tc>
      </w:tr>
    </w:tbl>
    <w:p w14:paraId="7533EBAD" w14:textId="77777777" w:rsidR="00D37C7A" w:rsidRDefault="00D37C7A">
      <w:pPr>
        <w:spacing w:before="240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63E55138" w14:textId="77777777" w:rsidR="004D78EB" w:rsidRDefault="001D33FA">
      <w:pPr>
        <w:numPr>
          <w:ilvl w:val="0"/>
          <w:numId w:val="1"/>
        </w:numPr>
        <w:spacing w:before="240"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Preschool educators will need to act promptly in an emergency. </w:t>
      </w:r>
    </w:p>
    <w:p w14:paraId="6F69B778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45B06689" w14:textId="77777777" w:rsidR="004D78EB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following information, with contact telephone numbers, will be clearly displayed next to each preschool telephone at all times:  </w:t>
      </w:r>
    </w:p>
    <w:p w14:paraId="1B5A7DFF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79A06C83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Emergency number – 000 </w:t>
      </w:r>
    </w:p>
    <w:p w14:paraId="1A6FC55E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Poisons Information Centre (24hours)- 13 11 26 </w:t>
      </w:r>
    </w:p>
    <w:p w14:paraId="4CF370A7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hospital casualty department </w:t>
      </w:r>
    </w:p>
    <w:p w14:paraId="323597C7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police </w:t>
      </w:r>
    </w:p>
    <w:p w14:paraId="4D0C705A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Street address and telephone number of the preschool </w:t>
      </w:r>
    </w:p>
    <w:p w14:paraId="713F1C56" w14:textId="77777777" w:rsidR="004D78EB" w:rsidRDefault="001D33FA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Nearest crossroad to the preschool premises.</w:t>
      </w:r>
    </w:p>
    <w:p w14:paraId="1D2F01CF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2F6531B3" w14:textId="77777777" w:rsidR="004D78EB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school emergency management plan</w:t>
      </w:r>
      <w:r w:rsidR="001936D9">
        <w:rPr>
          <w:rFonts w:ascii="Arial" w:eastAsia="Arial" w:hAnsi="Arial" w:cs="Arial"/>
          <w:sz w:val="24"/>
          <w:szCs w:val="24"/>
        </w:rPr>
        <w:t xml:space="preserve"> procedures details preschool procedure to follow in case of ﬁre,</w:t>
      </w:r>
      <w:r>
        <w:rPr>
          <w:rFonts w:ascii="Arial" w:eastAsia="Arial" w:hAnsi="Arial" w:cs="Arial"/>
          <w:sz w:val="24"/>
          <w:szCs w:val="24"/>
        </w:rPr>
        <w:t xml:space="preserve"> bomb threat or any other emergency situation that requires evacuation of the building </w:t>
      </w:r>
      <w:r w:rsidR="001936D9">
        <w:rPr>
          <w:rFonts w:ascii="Arial" w:eastAsia="Arial" w:hAnsi="Arial" w:cs="Arial"/>
          <w:sz w:val="24"/>
          <w:szCs w:val="24"/>
        </w:rPr>
        <w:t>or lock down.</w:t>
      </w:r>
    </w:p>
    <w:p w14:paraId="58306F27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5524FDD0" w14:textId="77777777" w:rsidR="004D78EB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preschool staff, including relief staff, will be made aware of the emergency evacuation procedures. Copies of the procedures will be displayed in a prominent position at each preschool exit.</w:t>
      </w:r>
    </w:p>
    <w:p w14:paraId="0729FBD1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70AE3FF0" w14:textId="77777777" w:rsidR="004D78EB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educators and children in the preschool will practice emergency evac</w:t>
      </w:r>
      <w:r w:rsidR="001936D9">
        <w:rPr>
          <w:rFonts w:ascii="Arial" w:eastAsia="Arial" w:hAnsi="Arial" w:cs="Arial"/>
          <w:sz w:val="24"/>
          <w:szCs w:val="24"/>
        </w:rPr>
        <w:t xml:space="preserve">uation procedures once a term. This involves one fire evacuation per group per term and one lock down procedure per group per term. </w:t>
      </w:r>
    </w:p>
    <w:p w14:paraId="67D7D12C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5D806FE8" w14:textId="77777777" w:rsidR="004D78EB" w:rsidRPr="00527DE0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Details of each </w:t>
      </w:r>
      <w:r w:rsidR="001936D9">
        <w:rPr>
          <w:rFonts w:ascii="Arial" w:eastAsia="Arial" w:hAnsi="Arial" w:cs="Arial"/>
          <w:sz w:val="24"/>
          <w:szCs w:val="24"/>
        </w:rPr>
        <w:t xml:space="preserve">preschool </w:t>
      </w:r>
      <w:r>
        <w:rPr>
          <w:rFonts w:ascii="Arial" w:eastAsia="Arial" w:hAnsi="Arial" w:cs="Arial"/>
          <w:sz w:val="24"/>
          <w:szCs w:val="24"/>
        </w:rPr>
        <w:t>practice, including an evaluation of the procedures followed, will be recorded in</w:t>
      </w:r>
      <w:r w:rsidR="001936D9">
        <w:rPr>
          <w:rFonts w:ascii="Arial" w:eastAsia="Arial" w:hAnsi="Arial" w:cs="Arial"/>
          <w:sz w:val="24"/>
          <w:szCs w:val="24"/>
        </w:rPr>
        <w:t xml:space="preserve"> on the ‘Evacuation / Lockdown Procedure Evaluation’ kept with the Evacuation and Lockdown plans.</w:t>
      </w:r>
    </w:p>
    <w:p w14:paraId="2BAEA523" w14:textId="77777777" w:rsidR="00527DE0" w:rsidRDefault="00527DE0" w:rsidP="00527DE0">
      <w:pPr>
        <w:spacing w:after="0"/>
        <w:contextualSpacing/>
        <w:rPr>
          <w:sz w:val="24"/>
          <w:szCs w:val="24"/>
        </w:rPr>
      </w:pPr>
    </w:p>
    <w:p w14:paraId="511848D3" w14:textId="66020B6D" w:rsidR="00527DE0" w:rsidRDefault="00527DE0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Evacuation and Lockdown procedures must be clearly visible at all exit points within the Preschool.</w:t>
      </w:r>
    </w:p>
    <w:p w14:paraId="2351F8D7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1AC4169E" w14:textId="77777777" w:rsidR="004D78EB" w:rsidRPr="001936D9" w:rsidRDefault="001D33FA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  <w:highlight w:val="yellow"/>
        </w:rPr>
      </w:pPr>
      <w:r w:rsidRPr="001936D9">
        <w:rPr>
          <w:rFonts w:ascii="Arial" w:eastAsia="Arial" w:hAnsi="Arial" w:cs="Arial"/>
          <w:sz w:val="24"/>
          <w:szCs w:val="24"/>
          <w:highlight w:val="yellow"/>
        </w:rPr>
        <w:t xml:space="preserve">The </w:t>
      </w:r>
      <w:r w:rsidR="001936D9">
        <w:rPr>
          <w:rFonts w:ascii="Arial" w:eastAsia="Arial" w:hAnsi="Arial" w:cs="Arial"/>
          <w:sz w:val="24"/>
          <w:szCs w:val="24"/>
          <w:highlight w:val="yellow"/>
        </w:rPr>
        <w:t>schoo</w:t>
      </w:r>
      <w:r w:rsidRPr="001936D9">
        <w:rPr>
          <w:rFonts w:ascii="Arial" w:eastAsia="Arial" w:hAnsi="Arial" w:cs="Arial"/>
          <w:sz w:val="24"/>
          <w:szCs w:val="24"/>
          <w:highlight w:val="yellow"/>
        </w:rPr>
        <w:t xml:space="preserve">l will develop (and review annually) a risk </w:t>
      </w:r>
      <w:r w:rsidR="001936D9">
        <w:rPr>
          <w:rFonts w:ascii="Arial" w:eastAsia="Arial" w:hAnsi="Arial" w:cs="Arial"/>
          <w:sz w:val="24"/>
          <w:szCs w:val="24"/>
          <w:highlight w:val="yellow"/>
        </w:rPr>
        <w:t>assessment plan</w:t>
      </w:r>
      <w:r w:rsidRPr="001936D9">
        <w:rPr>
          <w:rFonts w:ascii="Arial" w:eastAsia="Arial" w:hAnsi="Arial" w:cs="Arial"/>
          <w:sz w:val="24"/>
          <w:szCs w:val="24"/>
          <w:highlight w:val="yellow"/>
        </w:rPr>
        <w:t xml:space="preserve"> for emergency evacuations.</w:t>
      </w:r>
    </w:p>
    <w:p w14:paraId="6FA45BF3" w14:textId="77777777" w:rsidR="004D78EB" w:rsidRDefault="004D78EB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0F686E18" w14:textId="77777777" w:rsidR="008F6C7F" w:rsidRDefault="008F6C7F" w:rsidP="008F6C7F">
      <w:pPr>
        <w:rPr>
          <w:rFonts w:ascii="Arial" w:eastAsia="Arial" w:hAnsi="Arial" w:cs="Arial"/>
          <w:sz w:val="24"/>
          <w:szCs w:val="24"/>
        </w:rPr>
      </w:pPr>
    </w:p>
    <w:sectPr w:rsidR="008F6C7F" w:rsidSect="00527DE0">
      <w:footerReference w:type="default" r:id="rId20"/>
      <w:pgSz w:w="11906" w:h="16838"/>
      <w:pgMar w:top="830" w:right="1134" w:bottom="79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2DE6" w14:textId="77777777" w:rsidR="007C72F2" w:rsidRDefault="007C72F2">
      <w:pPr>
        <w:spacing w:after="0" w:line="240" w:lineRule="auto"/>
      </w:pPr>
      <w:r>
        <w:separator/>
      </w:r>
    </w:p>
  </w:endnote>
  <w:endnote w:type="continuationSeparator" w:id="0">
    <w:p w14:paraId="2C5B91FD" w14:textId="77777777" w:rsidR="007C72F2" w:rsidRDefault="007C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37CD" w14:textId="77777777" w:rsidR="004D78EB" w:rsidRDefault="001D33FA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NSW Department of Education, Educational Services, Ultimo</w:t>
    </w:r>
  </w:p>
  <w:p w14:paraId="0A9A635B" w14:textId="77777777" w:rsidR="004D78EB" w:rsidRDefault="004D78EB">
    <w:pPr>
      <w:tabs>
        <w:tab w:val="center" w:pos="4513"/>
        <w:tab w:val="right" w:pos="9026"/>
      </w:tabs>
      <w:spacing w:after="284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DF4A" w14:textId="77777777" w:rsidR="007C72F2" w:rsidRDefault="007C72F2">
      <w:pPr>
        <w:spacing w:after="0" w:line="240" w:lineRule="auto"/>
      </w:pPr>
      <w:r>
        <w:separator/>
      </w:r>
    </w:p>
  </w:footnote>
  <w:footnote w:type="continuationSeparator" w:id="0">
    <w:p w14:paraId="6D13AAA3" w14:textId="77777777" w:rsidR="007C72F2" w:rsidRDefault="007C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DAD"/>
    <w:multiLevelType w:val="multilevel"/>
    <w:tmpl w:val="A64AF6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D3433F0"/>
    <w:multiLevelType w:val="multilevel"/>
    <w:tmpl w:val="57002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8F626DF"/>
    <w:multiLevelType w:val="hybridMultilevel"/>
    <w:tmpl w:val="C874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814A0"/>
    <w:multiLevelType w:val="hybridMultilevel"/>
    <w:tmpl w:val="F036F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70D6F"/>
    <w:multiLevelType w:val="hybridMultilevel"/>
    <w:tmpl w:val="0722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B"/>
    <w:rsid w:val="001936D9"/>
    <w:rsid w:val="001D33FA"/>
    <w:rsid w:val="003B38E8"/>
    <w:rsid w:val="004D78EB"/>
    <w:rsid w:val="004E264D"/>
    <w:rsid w:val="00527DE0"/>
    <w:rsid w:val="00536D8E"/>
    <w:rsid w:val="005931CA"/>
    <w:rsid w:val="006E3A8C"/>
    <w:rsid w:val="007C2273"/>
    <w:rsid w:val="007C72F2"/>
    <w:rsid w:val="00895785"/>
    <w:rsid w:val="008F6C7F"/>
    <w:rsid w:val="00905A96"/>
    <w:rsid w:val="00C371A0"/>
    <w:rsid w:val="00D37C7A"/>
    <w:rsid w:val="00F044C9"/>
    <w:rsid w:val="00F3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ED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after="0" w:line="240" w:lineRule="auto"/>
      <w:ind w:left="957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37C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C7A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Body1">
    <w:name w:val="Body 1"/>
    <w:rsid w:val="008F6C7F"/>
    <w:pPr>
      <w:spacing w:after="0" w:line="240" w:lineRule="auto"/>
    </w:pPr>
    <w:rPr>
      <w:rFonts w:ascii="Helvetica" w:eastAsia="Arial Unicode MS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after="0" w:line="240" w:lineRule="auto"/>
      <w:ind w:left="957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37C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C7A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Body1">
    <w:name w:val="Body 1"/>
    <w:rsid w:val="008F6C7F"/>
    <w:pPr>
      <w:spacing w:after="0" w:line="240" w:lineRule="auto"/>
    </w:pPr>
    <w:rPr>
      <w:rFonts w:ascii="Helvetica" w:eastAsia="Arial Unicode MS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etwww.det.nsw.edu.au/media/downloads/directoratesaz/workhealthsafety/swl/proc/emergencymanagementguidelines.pdf" TargetMode="External"/><Relationship Id="rId11" Type="http://schemas.openxmlformats.org/officeDocument/2006/relationships/hyperlink" Target="https://education.nsw.gov.au/policy-library/policies/reporting-school-accidents" TargetMode="External"/><Relationship Id="rId12" Type="http://schemas.openxmlformats.org/officeDocument/2006/relationships/hyperlink" Target="https://education.nsw.gov.au/policy-library/policies/reporting-school-accidents" TargetMode="External"/><Relationship Id="rId13" Type="http://schemas.openxmlformats.org/officeDocument/2006/relationships/hyperlink" Target="https://education.nsw.gov.au/policy-library/associated-documents/sup_doc.pdf" TargetMode="External"/><Relationship Id="rId14" Type="http://schemas.openxmlformats.org/officeDocument/2006/relationships/hyperlink" Target="https://education.nsw.gov.au/policy-library/associated-documents/sup_doc.pdf" TargetMode="External"/><Relationship Id="rId15" Type="http://schemas.openxmlformats.org/officeDocument/2006/relationships/hyperlink" Target="https://www.det.nsw.edu.au/policies/student_admin/general/accidrpt/PD20020064.shtml" TargetMode="External"/><Relationship Id="rId16" Type="http://schemas.openxmlformats.org/officeDocument/2006/relationships/hyperlink" Target="https://www.det.nsw.edu.au/policies/student_admin/general/accidrpt/PD20020064.shtml" TargetMode="External"/><Relationship Id="rId17" Type="http://schemas.openxmlformats.org/officeDocument/2006/relationships/hyperlink" Target="https://detwww.det.nsw.edu.au/workhealthandsafety/emergency-management" TargetMode="External"/><Relationship Id="rId18" Type="http://schemas.openxmlformats.org/officeDocument/2006/relationships/hyperlink" Target="https://detwww.det.nsw.edu.au/workhealthandsafety/emergency-management" TargetMode="External"/><Relationship Id="rId19" Type="http://schemas.openxmlformats.org/officeDocument/2006/relationships/hyperlink" Target="https://detwww.det.nsw.edu.au/workhealthandsafety/emergency-managemen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Dean, Victoria</dc:creator>
  <cp:lastModifiedBy>sue mooney</cp:lastModifiedBy>
  <cp:revision>2</cp:revision>
  <dcterms:created xsi:type="dcterms:W3CDTF">2017-07-26T11:46:00Z</dcterms:created>
  <dcterms:modified xsi:type="dcterms:W3CDTF">2017-07-26T11:46:00Z</dcterms:modified>
</cp:coreProperties>
</file>